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291CA" w14:textId="2B712F96" w:rsidR="00201E0A" w:rsidRDefault="00056D34" w:rsidP="00ED2E32">
      <w:pPr>
        <w:pStyle w:val="1"/>
        <w:widowControl/>
        <w:spacing w:line="560" w:lineRule="exact"/>
        <w:jc w:val="center"/>
        <w:rPr>
          <w:rFonts w:ascii="方正小标宋简体" w:eastAsia="方正小标宋简体" w:hAnsiTheme="majorEastAsia" w:cstheme="majorEastAsia" w:hint="default"/>
          <w:b w:val="0"/>
          <w:sz w:val="44"/>
          <w:szCs w:val="44"/>
          <w:lang w:eastAsia="zh-TW"/>
        </w:rPr>
      </w:pPr>
      <w:r w:rsidRPr="00056D34">
        <w:rPr>
          <w:rFonts w:ascii="方正小标宋简体" w:eastAsia="PMingLiU" w:hAnsiTheme="majorEastAsia" w:cstheme="majorEastAsia"/>
          <w:b w:val="0"/>
          <w:sz w:val="44"/>
          <w:szCs w:val="44"/>
          <w:lang w:eastAsia="zh-TW"/>
        </w:rPr>
        <w:t>關於促進個人稅收優惠型健康保險發展的提案</w:t>
      </w:r>
      <w:bookmarkStart w:id="0" w:name="_GoBack"/>
      <w:bookmarkEnd w:id="0"/>
    </w:p>
    <w:p w14:paraId="36742E6A" w14:textId="77777777" w:rsidR="00360AD7" w:rsidRPr="00360AD7" w:rsidRDefault="00360AD7" w:rsidP="00360AD7">
      <w:pPr>
        <w:rPr>
          <w:lang w:eastAsia="zh-TW"/>
        </w:rPr>
      </w:pPr>
    </w:p>
    <w:p w14:paraId="681D513A" w14:textId="641C79E0" w:rsidR="00EE3830" w:rsidRPr="00EE3830" w:rsidRDefault="00056D34" w:rsidP="00ED2E32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  <w:lang w:eastAsia="zh-TW"/>
        </w:rPr>
      </w:pPr>
      <w:r w:rsidRPr="00056D34">
        <w:rPr>
          <w:rFonts w:ascii="仿宋_GB2312" w:eastAsia="PMingLiU" w:hint="eastAsia"/>
          <w:sz w:val="32"/>
          <w:lang w:eastAsia="zh-TW"/>
        </w:rPr>
        <w:t>加快發展個人稅收優惠型健康保險（以下簡稱“稅優健康保險”），是保障和改善民生的重大舉措，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對我國</w:t>
      </w:r>
      <w:r w:rsidRPr="00056D34">
        <w:rPr>
          <w:rFonts w:ascii="仿宋_GB2312" w:eastAsia="PMingLiU" w:hint="eastAsia"/>
          <w:sz w:val="32"/>
          <w:lang w:eastAsia="zh-TW"/>
        </w:rPr>
        <w:t>建立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健全多</w:t>
      </w:r>
      <w:r w:rsidRPr="00056D34">
        <w:rPr>
          <w:rFonts w:ascii="仿宋_GB2312" w:eastAsia="PMingLiU" w:hAnsi="仿宋" w:cs="宋体" w:hint="eastAsia"/>
          <w:kern w:val="0"/>
          <w:sz w:val="32"/>
          <w:szCs w:val="32"/>
          <w:lang w:eastAsia="zh-TW"/>
        </w:rPr>
        <w:t>層次醫療保障體系</w:t>
      </w:r>
      <w:r w:rsidRPr="00056D34">
        <w:rPr>
          <w:rFonts w:ascii="仿宋_GB2312" w:eastAsia="PMingLiU" w:hint="eastAsia"/>
          <w:sz w:val="32"/>
          <w:lang w:eastAsia="zh-TW"/>
        </w:rPr>
        <w:t>，減輕基本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醫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保壓力和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參保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群眾的醫療負擔，緩解“因病致貧、因病返貧”具有重要意義</w:t>
      </w:r>
      <w:r w:rsidRPr="00056D34">
        <w:rPr>
          <w:rFonts w:ascii="仿宋_GB2312" w:eastAsia="PMingLiU" w:hAnsi="仿宋" w:cs="宋体" w:hint="eastAsia"/>
          <w:kern w:val="0"/>
          <w:sz w:val="32"/>
          <w:szCs w:val="32"/>
          <w:lang w:eastAsia="zh-TW"/>
        </w:rPr>
        <w:t>。</w:t>
      </w:r>
    </w:p>
    <w:p w14:paraId="7603925C" w14:textId="54A3B232" w:rsidR="00222C25" w:rsidRDefault="00056D34" w:rsidP="00ED2E32">
      <w:pPr>
        <w:spacing w:line="560" w:lineRule="exact"/>
        <w:ind w:firstLineChars="200" w:firstLine="640"/>
        <w:rPr>
          <w:rFonts w:ascii="仿宋_GB2312" w:eastAsia="仿宋_GB2312"/>
          <w:sz w:val="32"/>
          <w:lang w:eastAsia="zh-TW"/>
        </w:rPr>
      </w:pPr>
      <w:r w:rsidRPr="00056D34">
        <w:rPr>
          <w:rFonts w:ascii="仿宋_GB2312" w:eastAsia="PMingLiU" w:hint="eastAsia"/>
          <w:sz w:val="32"/>
          <w:lang w:eastAsia="zh-TW"/>
        </w:rPr>
        <w:t>自</w:t>
      </w:r>
      <w:r w:rsidRPr="00056D34">
        <w:rPr>
          <w:rFonts w:ascii="仿宋_GB2312" w:eastAsia="PMingLiU"/>
          <w:sz w:val="32"/>
          <w:lang w:eastAsia="zh-TW"/>
        </w:rPr>
        <w:t>2016</w:t>
      </w:r>
      <w:r w:rsidRPr="00056D34">
        <w:rPr>
          <w:rFonts w:ascii="仿宋_GB2312" w:eastAsia="PMingLiU" w:hint="eastAsia"/>
          <w:sz w:val="32"/>
          <w:lang w:eastAsia="zh-TW"/>
        </w:rPr>
        <w:t>年開展試點及</w:t>
      </w:r>
      <w:r w:rsidRPr="00056D34">
        <w:rPr>
          <w:rFonts w:ascii="仿宋_GB2312" w:eastAsia="PMingLiU"/>
          <w:sz w:val="32"/>
          <w:lang w:eastAsia="zh-TW"/>
        </w:rPr>
        <w:t>2017</w:t>
      </w:r>
      <w:r w:rsidRPr="00056D34">
        <w:rPr>
          <w:rFonts w:ascii="仿宋_GB2312" w:eastAsia="PMingLiU" w:hint="eastAsia"/>
          <w:sz w:val="32"/>
          <w:lang w:eastAsia="zh-TW"/>
        </w:rPr>
        <w:t>年全國推廣以來，保險業高度重視，積極回應，將發展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保險作為</w:t>
      </w:r>
      <w:r w:rsidRPr="00056D34">
        <w:rPr>
          <w:rFonts w:ascii="仿宋_GB2312" w:eastAsia="PMingLiU" w:hAnsi="仿宋" w:cs="宋体" w:hint="eastAsia"/>
          <w:kern w:val="0"/>
          <w:sz w:val="32"/>
          <w:szCs w:val="32"/>
          <w:lang w:eastAsia="zh-TW"/>
        </w:rPr>
        <w:t>服務國家醫療保障體系建設</w:t>
      </w:r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的</w:t>
      </w:r>
      <w:r w:rsidRPr="00056D34">
        <w:rPr>
          <w:rFonts w:ascii="仿宋_GB2312" w:eastAsia="PMingLiU" w:hint="eastAsia"/>
          <w:sz w:val="32"/>
          <w:lang w:eastAsia="zh-TW"/>
        </w:rPr>
        <w:t>重要任務來部署推進。截至</w:t>
      </w:r>
      <w:r w:rsidRPr="00056D34">
        <w:rPr>
          <w:rFonts w:ascii="仿宋_GB2312" w:eastAsia="PMingLiU"/>
          <w:sz w:val="32"/>
          <w:lang w:eastAsia="zh-TW"/>
        </w:rPr>
        <w:t>2018</w:t>
      </w:r>
      <w:r w:rsidRPr="00056D34">
        <w:rPr>
          <w:rFonts w:ascii="仿宋_GB2312" w:eastAsia="PMingLiU" w:hint="eastAsia"/>
          <w:sz w:val="32"/>
          <w:lang w:eastAsia="zh-TW"/>
        </w:rPr>
        <w:t>年底，行業共</w:t>
      </w:r>
      <w:r w:rsidRPr="00056D34">
        <w:rPr>
          <w:rFonts w:ascii="仿宋_GB2312" w:eastAsia="PMingLiU"/>
          <w:sz w:val="32"/>
          <w:lang w:eastAsia="zh-TW"/>
        </w:rPr>
        <w:t>24</w:t>
      </w:r>
      <w:r w:rsidRPr="00056D34">
        <w:rPr>
          <w:rFonts w:ascii="仿宋_GB2312" w:eastAsia="PMingLiU" w:hint="eastAsia"/>
          <w:sz w:val="32"/>
          <w:lang w:eastAsia="zh-TW"/>
        </w:rPr>
        <w:t>家保險機構開展該業務，中國人壽</w:t>
      </w:r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承保保單件數位居行業前列，</w:t>
      </w:r>
      <w:r w:rsidRPr="00056D34">
        <w:rPr>
          <w:rFonts w:ascii="仿宋_GB2312" w:eastAsia="PMingLiU" w:hint="eastAsia"/>
          <w:sz w:val="32"/>
          <w:lang w:eastAsia="zh-TW"/>
        </w:rPr>
        <w:t>累計賠付</w:t>
      </w:r>
      <w:r w:rsidRPr="00056D34">
        <w:rPr>
          <w:rFonts w:ascii="仿宋_GB2312" w:eastAsia="PMingLiU"/>
          <w:sz w:val="32"/>
          <w:lang w:eastAsia="zh-TW"/>
        </w:rPr>
        <w:t>2300</w:t>
      </w:r>
      <w:r w:rsidRPr="00056D34">
        <w:rPr>
          <w:rFonts w:ascii="仿宋_GB2312" w:eastAsia="PMingLiU" w:hint="eastAsia"/>
          <w:sz w:val="32"/>
          <w:lang w:eastAsia="zh-TW"/>
        </w:rPr>
        <w:t>多人，賠款支出</w:t>
      </w:r>
      <w:r w:rsidRPr="00056D34">
        <w:rPr>
          <w:rFonts w:ascii="仿宋_GB2312" w:eastAsia="PMingLiU"/>
          <w:sz w:val="32"/>
          <w:lang w:eastAsia="zh-TW"/>
        </w:rPr>
        <w:t>1200</w:t>
      </w:r>
      <w:r w:rsidRPr="00056D34">
        <w:rPr>
          <w:rFonts w:ascii="仿宋_GB2312" w:eastAsia="PMingLiU" w:hint="eastAsia"/>
          <w:sz w:val="32"/>
          <w:lang w:eastAsia="zh-TW"/>
        </w:rPr>
        <w:t>多萬元，人均賠款支出約</w:t>
      </w:r>
      <w:r w:rsidRPr="00056D34">
        <w:rPr>
          <w:rFonts w:ascii="仿宋_GB2312" w:eastAsia="PMingLiU"/>
          <w:sz w:val="32"/>
          <w:lang w:eastAsia="zh-TW"/>
        </w:rPr>
        <w:t>5400</w:t>
      </w:r>
      <w:r w:rsidRPr="00056D34">
        <w:rPr>
          <w:rFonts w:ascii="仿宋_GB2312" w:eastAsia="PMingLiU" w:hint="eastAsia"/>
          <w:sz w:val="32"/>
          <w:lang w:eastAsia="zh-TW"/>
        </w:rPr>
        <w:t>元</w:t>
      </w:r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。總體來看，</w:t>
      </w:r>
      <w:proofErr w:type="gramStart"/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稅優健康</w:t>
      </w:r>
      <w:proofErr w:type="gramEnd"/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保險在降低個人醫療費用負擔方面的能力開始顯現，受到社會的廣泛關注，但市場</w:t>
      </w:r>
      <w:r w:rsidRPr="00056D34">
        <w:rPr>
          <w:rFonts w:ascii="仿宋_GB2312" w:eastAsia="PMingLiU" w:hint="eastAsia"/>
          <w:sz w:val="32"/>
          <w:lang w:eastAsia="zh-TW"/>
        </w:rPr>
        <w:t>發展不及預期。截至</w:t>
      </w:r>
      <w:r w:rsidRPr="00056D34">
        <w:rPr>
          <w:rFonts w:ascii="仿宋_GB2312" w:eastAsia="PMingLiU"/>
          <w:sz w:val="32"/>
          <w:lang w:eastAsia="zh-TW"/>
        </w:rPr>
        <w:t>2018</w:t>
      </w:r>
      <w:r w:rsidRPr="00056D34">
        <w:rPr>
          <w:rFonts w:ascii="仿宋_GB2312" w:eastAsia="PMingLiU" w:hint="eastAsia"/>
          <w:sz w:val="32"/>
          <w:lang w:eastAsia="zh-TW"/>
        </w:rPr>
        <w:t>年底，行業累計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承保僅</w:t>
      </w:r>
      <w:r w:rsidRPr="00056D34">
        <w:rPr>
          <w:rFonts w:ascii="仿宋_GB2312" w:eastAsia="PMingLiU"/>
          <w:sz w:val="32"/>
          <w:lang w:eastAsia="zh-TW"/>
        </w:rPr>
        <w:t>31.9</w:t>
      </w:r>
      <w:r w:rsidRPr="00056D34">
        <w:rPr>
          <w:rFonts w:ascii="仿宋_GB2312" w:eastAsia="PMingLiU" w:hint="eastAsia"/>
          <w:sz w:val="32"/>
          <w:lang w:eastAsia="zh-TW"/>
        </w:rPr>
        <w:t>萬件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，</w:t>
      </w:r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累計實收保費僅</w:t>
      </w:r>
      <w:r w:rsidRPr="00056D34">
        <w:rPr>
          <w:rFonts w:ascii="仿宋_GB2312" w:eastAsia="PMingLiU" w:hAnsi="仿宋" w:cs="仿宋"/>
          <w:sz w:val="32"/>
          <w:szCs w:val="32"/>
          <w:lang w:eastAsia="zh-TW"/>
        </w:rPr>
        <w:t>9.4</w:t>
      </w:r>
      <w:r w:rsidRPr="00056D34">
        <w:rPr>
          <w:rFonts w:ascii="仿宋_GB2312" w:eastAsia="PMingLiU" w:hAnsi="仿宋" w:cs="仿宋" w:hint="eastAsia"/>
          <w:sz w:val="32"/>
          <w:szCs w:val="32"/>
          <w:lang w:eastAsia="zh-TW"/>
        </w:rPr>
        <w:t>億元，主要存在以下問題和困難</w:t>
      </w:r>
      <w:r w:rsidRPr="00056D34">
        <w:rPr>
          <w:rFonts w:ascii="仿宋_GB2312" w:eastAsia="PMingLiU" w:hint="eastAsia"/>
          <w:sz w:val="32"/>
          <w:lang w:eastAsia="zh-TW"/>
        </w:rPr>
        <w:t>：</w:t>
      </w:r>
    </w:p>
    <w:p w14:paraId="26701CC2" w14:textId="2E040EB6" w:rsidR="00222C25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  <w:lang w:eastAsia="zh-TW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一是個人所得稅優惠額度有限，撬動力度不足。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保險政策主要是為個人所得稅納稅人購買符合規定的健康險，提供最高</w:t>
      </w:r>
      <w:r w:rsidRPr="00056D34">
        <w:rPr>
          <w:rFonts w:ascii="仿宋_GB2312" w:eastAsia="PMingLiU"/>
          <w:sz w:val="32"/>
          <w:lang w:eastAsia="zh-TW"/>
        </w:rPr>
        <w:t>2400</w:t>
      </w:r>
      <w:r w:rsidRPr="00056D34">
        <w:rPr>
          <w:rFonts w:ascii="仿宋_GB2312" w:eastAsia="PMingLiU" w:hint="eastAsia"/>
          <w:sz w:val="32"/>
          <w:lang w:eastAsia="zh-TW"/>
        </w:rPr>
        <w:t>元</w:t>
      </w:r>
      <w:r w:rsidRPr="00056D34">
        <w:rPr>
          <w:rFonts w:ascii="仿宋_GB2312" w:eastAsia="PMingLiU"/>
          <w:sz w:val="32"/>
          <w:lang w:eastAsia="zh-TW"/>
        </w:rPr>
        <w:t>/</w:t>
      </w:r>
      <w:r w:rsidRPr="00056D34">
        <w:rPr>
          <w:rFonts w:ascii="仿宋_GB2312" w:eastAsia="PMingLiU" w:hint="eastAsia"/>
          <w:sz w:val="32"/>
          <w:lang w:eastAsia="zh-TW"/>
        </w:rPr>
        <w:t>年的限額予以稅前扣除，相當於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個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稅徵收點最多可提高</w:t>
      </w:r>
      <w:r w:rsidRPr="00056D34">
        <w:rPr>
          <w:rFonts w:ascii="仿宋_GB2312" w:eastAsia="PMingLiU"/>
          <w:sz w:val="32"/>
          <w:lang w:eastAsia="zh-TW"/>
        </w:rPr>
        <w:t>200</w:t>
      </w:r>
      <w:r w:rsidRPr="00056D34">
        <w:rPr>
          <w:rFonts w:ascii="仿宋_GB2312" w:eastAsia="PMingLiU" w:hint="eastAsia"/>
          <w:sz w:val="32"/>
          <w:lang w:eastAsia="zh-TW"/>
        </w:rPr>
        <w:t>元</w:t>
      </w:r>
      <w:r w:rsidRPr="00056D34">
        <w:rPr>
          <w:rFonts w:ascii="仿宋_GB2312" w:eastAsia="PMingLiU"/>
          <w:sz w:val="32"/>
          <w:lang w:eastAsia="zh-TW"/>
        </w:rPr>
        <w:t>/</w:t>
      </w:r>
      <w:r w:rsidRPr="00056D34">
        <w:rPr>
          <w:rFonts w:ascii="仿宋_GB2312" w:eastAsia="PMingLiU" w:hint="eastAsia"/>
          <w:sz w:val="32"/>
          <w:lang w:eastAsia="zh-TW"/>
        </w:rPr>
        <w:t>月，在總收入中占比較低，對納稅人群的吸引力有限。尤其是隨著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個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稅改革的深入推進，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個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稅徵收點提高，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稅優政策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覆蓋的人群範圍將進一步縮減，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稅收優惠的吸引力也將面臨進一步下降的挑戰。</w:t>
      </w:r>
    </w:p>
    <w:p w14:paraId="04CC551E" w14:textId="748F37E6" w:rsidR="00222C25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lang w:eastAsia="zh-TW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二是業務流程複雜，影響消費體驗。</w:t>
      </w:r>
      <w:r w:rsidRPr="00056D34">
        <w:rPr>
          <w:rFonts w:ascii="仿宋_GB2312" w:eastAsia="PMingLiU" w:hint="eastAsia"/>
          <w:sz w:val="32"/>
          <w:lang w:eastAsia="zh-TW"/>
        </w:rPr>
        <w:t>當前，納稅群體投保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保險時，需本人提供由當地稅務機關或其供職單</w:t>
      </w:r>
      <w:r w:rsidRPr="00056D34">
        <w:rPr>
          <w:rFonts w:ascii="仿宋_GB2312" w:eastAsia="PMingLiU" w:hint="eastAsia"/>
          <w:sz w:val="32"/>
          <w:lang w:eastAsia="zh-TW"/>
        </w:rPr>
        <w:lastRenderedPageBreak/>
        <w:t>位開具的相關納稅證明材料，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承保後需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由扣繳義務人協助辦理個人所得稅稅前抵扣手續。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保險的業務流程複雜繁瑣，體驗不佳。</w:t>
      </w:r>
    </w:p>
    <w:p w14:paraId="0AA23CC5" w14:textId="36B05769" w:rsidR="00222C25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lang w:eastAsia="zh-TW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三是</w:t>
      </w:r>
      <w:proofErr w:type="gramStart"/>
      <w:r w:rsidRPr="00056D34">
        <w:rPr>
          <w:rFonts w:ascii="仿宋_GB2312" w:eastAsia="PMingLiU" w:hint="eastAsia"/>
          <w:b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b/>
          <w:sz w:val="32"/>
          <w:lang w:eastAsia="zh-TW"/>
        </w:rPr>
        <w:t>保險產品較為單一，吸引力不足，難以滿足客戶的多元化需求。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健康</w:t>
      </w:r>
      <w:proofErr w:type="gramEnd"/>
      <w:r w:rsidRPr="00056D34">
        <w:rPr>
          <w:rFonts w:ascii="仿宋_GB2312" w:eastAsia="PMingLiU" w:hint="eastAsia"/>
          <w:sz w:val="32"/>
          <w:szCs w:val="32"/>
          <w:lang w:eastAsia="zh-TW"/>
        </w:rPr>
        <w:t>保險</w:t>
      </w:r>
      <w:r w:rsidRPr="00056D34">
        <w:rPr>
          <w:rFonts w:ascii="仿宋_GB2312" w:eastAsia="PMingLiU" w:hint="eastAsia"/>
          <w:sz w:val="32"/>
          <w:lang w:eastAsia="zh-TW"/>
        </w:rPr>
        <w:t>採取萬能險方式，包括醫療保險和個人帳戶積累兩項責任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。</w:t>
      </w:r>
      <w:r w:rsidRPr="00056D34">
        <w:rPr>
          <w:rFonts w:ascii="仿宋_GB2312" w:eastAsia="PMingLiU" w:hint="eastAsia"/>
          <w:sz w:val="32"/>
          <w:lang w:eastAsia="zh-TW"/>
        </w:rPr>
        <w:t>投保人在產品形態方面缺乏自主選擇權，且產品主要是醫療費用保險，單一的產品結構難以滿足投保人的多元化健康保險需求。</w:t>
      </w:r>
    </w:p>
    <w:p w14:paraId="3F3F00E5" w14:textId="24203820" w:rsidR="00957077" w:rsidRPr="00F64E14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highlight w:val="yellow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四是重視投保人權益，但對保險機構激勵還有待提升。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保險要求保險機構遵循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保本微利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原則、不得因既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往病史拒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保、保證續保、無等待期、不得設置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免賠額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、簡單賠付率不得低於</w:t>
      </w:r>
      <w:r w:rsidRPr="00056D34">
        <w:rPr>
          <w:rFonts w:ascii="仿宋_GB2312" w:eastAsia="PMingLiU"/>
          <w:sz w:val="32"/>
          <w:lang w:eastAsia="zh-TW"/>
        </w:rPr>
        <w:t>80%</w:t>
      </w:r>
      <w:r w:rsidRPr="00056D34">
        <w:rPr>
          <w:rFonts w:ascii="仿宋_GB2312" w:eastAsia="PMingLiU" w:hint="eastAsia"/>
          <w:sz w:val="32"/>
          <w:lang w:eastAsia="zh-TW"/>
        </w:rPr>
        <w:t>、不得對個人帳戶收取管理費用等。這些規定更好地保護了投保人權益，但對保險機構而言，風險大、成本高、利潤低，不得不謹慎展業。</w:t>
      </w:r>
    </w:p>
    <w:p w14:paraId="6F1232D2" w14:textId="11FC7A27" w:rsidR="00873DBE" w:rsidRPr="00513EC0" w:rsidRDefault="00056D34" w:rsidP="00ED2E32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056D34">
        <w:rPr>
          <w:rFonts w:ascii="仿宋_GB2312" w:eastAsia="PMingLiU" w:hint="eastAsia"/>
          <w:sz w:val="32"/>
          <w:lang w:eastAsia="zh-TW"/>
        </w:rPr>
        <w:t>為更好地推動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保險發展，提出以下建議：</w:t>
      </w:r>
    </w:p>
    <w:p w14:paraId="0DE61F00" w14:textId="3056F99A" w:rsidR="00A453C4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一是提高稅收優惠力度，並探索</w:t>
      </w:r>
      <w:proofErr w:type="gramStart"/>
      <w:r w:rsidRPr="00056D34">
        <w:rPr>
          <w:rFonts w:ascii="仿宋_GB2312" w:eastAsia="PMingLiU" w:hint="eastAsia"/>
          <w:b/>
          <w:sz w:val="32"/>
          <w:lang w:eastAsia="zh-TW"/>
        </w:rPr>
        <w:t>建立稅優額度</w:t>
      </w:r>
      <w:proofErr w:type="gramEnd"/>
      <w:r w:rsidRPr="00056D34">
        <w:rPr>
          <w:rFonts w:ascii="仿宋_GB2312" w:eastAsia="PMingLiU" w:hint="eastAsia"/>
          <w:b/>
          <w:sz w:val="32"/>
          <w:lang w:eastAsia="zh-TW"/>
        </w:rPr>
        <w:t>的動態調節機制。</w:t>
      </w:r>
      <w:r w:rsidRPr="00056D34">
        <w:rPr>
          <w:rFonts w:ascii="仿宋_GB2312" w:eastAsia="PMingLiU" w:hint="eastAsia"/>
          <w:sz w:val="32"/>
          <w:lang w:eastAsia="zh-TW"/>
        </w:rPr>
        <w:t>根據經濟發展水準、醫療費用上漲幅度及個稅政策調整等情況，定期調整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保險稅前抵扣額度，或將購買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保險的支出一次性進行稅前抵扣，提高稅收優惠額度對納稅人群的吸引力。</w:t>
      </w:r>
    </w:p>
    <w:p w14:paraId="7F12A566" w14:textId="5237C4B0" w:rsidR="00954E66" w:rsidRPr="00450A5C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</w:rPr>
      </w:pPr>
      <w:r w:rsidRPr="00056D34">
        <w:rPr>
          <w:rFonts w:ascii="仿宋_GB2312" w:eastAsia="PMingLiU" w:cs="宋体" w:hint="eastAsia"/>
          <w:b/>
          <w:color w:val="000000"/>
          <w:kern w:val="0"/>
          <w:sz w:val="32"/>
          <w:szCs w:val="32"/>
          <w:lang w:eastAsia="zh-TW"/>
        </w:rPr>
        <w:t>二是簡化稅務操作手續，提高稅收優惠抵扣的便利性。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儘快打通稅務與保險系統的對接，可將購買</w:t>
      </w:r>
      <w:proofErr w:type="gramStart"/>
      <w:r w:rsidRPr="00056D34">
        <w:rPr>
          <w:rFonts w:ascii="仿宋_GB2312" w:eastAsia="PMingLiU" w:hint="eastAsia"/>
          <w:sz w:val="32"/>
          <w:szCs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szCs w:val="32"/>
          <w:lang w:eastAsia="zh-TW"/>
        </w:rPr>
        <w:t>保險的支出列入個人所得稅專項費用扣除項目。參照“個人所得稅”</w:t>
      </w:r>
      <w:r w:rsidRPr="00056D34">
        <w:rPr>
          <w:rFonts w:ascii="仿宋_GB2312" w:eastAsia="PMingLiU"/>
          <w:sz w:val="32"/>
          <w:szCs w:val="32"/>
          <w:lang w:eastAsia="zh-TW"/>
        </w:rPr>
        <w:t>APP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中針對子女教育等支出的專項附加扣除申報流程，投保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lastRenderedPageBreak/>
        <w:t>人可自行在手機</w:t>
      </w:r>
      <w:r w:rsidRPr="00056D34">
        <w:rPr>
          <w:rFonts w:ascii="仿宋_GB2312" w:eastAsia="PMingLiU"/>
          <w:sz w:val="32"/>
          <w:szCs w:val="32"/>
          <w:lang w:eastAsia="zh-TW"/>
        </w:rPr>
        <w:t>APP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上完成</w:t>
      </w:r>
      <w:proofErr w:type="gramStart"/>
      <w:r w:rsidRPr="00056D34">
        <w:rPr>
          <w:rFonts w:ascii="仿宋_GB2312" w:eastAsia="PMingLiU" w:hint="eastAsia"/>
          <w:sz w:val="32"/>
          <w:szCs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szCs w:val="32"/>
          <w:lang w:eastAsia="zh-TW"/>
        </w:rPr>
        <w:t>保險個人所得稅稅前抵扣流程。</w:t>
      </w:r>
    </w:p>
    <w:p w14:paraId="047042F0" w14:textId="09F57A0F" w:rsidR="00513EC0" w:rsidRDefault="00056D34" w:rsidP="00ED2E32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</w:rPr>
      </w:pPr>
      <w:r w:rsidRPr="00056D34">
        <w:rPr>
          <w:rFonts w:ascii="仿宋_GB2312" w:eastAsia="PMingLiU" w:hint="eastAsia"/>
          <w:b/>
          <w:sz w:val="32"/>
          <w:szCs w:val="32"/>
          <w:lang w:eastAsia="zh-TW"/>
        </w:rPr>
        <w:t>三是</w:t>
      </w:r>
      <w:r w:rsidRPr="00056D34">
        <w:rPr>
          <w:rFonts w:ascii="仿宋_GB2312" w:eastAsia="PMingLiU" w:hAnsi="仿宋" w:hint="eastAsia"/>
          <w:b/>
          <w:sz w:val="32"/>
          <w:szCs w:val="32"/>
          <w:lang w:eastAsia="zh-TW"/>
        </w:rPr>
        <w:t>賦予保險機構更大的業務經營空間，更好調動保險機構能動性。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完善有關政策的實務規定，提高保險機構風險管理能力。例如，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調整核保和</w:t>
      </w:r>
      <w:proofErr w:type="gramStart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承保</w:t>
      </w:r>
      <w:proofErr w:type="gramEnd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條件，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允許保險</w:t>
      </w:r>
      <w:proofErr w:type="gramStart"/>
      <w:r w:rsidRPr="00056D34">
        <w:rPr>
          <w:rFonts w:ascii="仿宋_GB2312" w:eastAsia="PMingLiU" w:hint="eastAsia"/>
          <w:sz w:val="32"/>
          <w:szCs w:val="32"/>
          <w:lang w:eastAsia="zh-TW"/>
        </w:rPr>
        <w:t>機構對患重大</w:t>
      </w:r>
      <w:proofErr w:type="gramEnd"/>
      <w:r w:rsidRPr="00056D34">
        <w:rPr>
          <w:rFonts w:ascii="仿宋_GB2312" w:eastAsia="PMingLiU" w:hint="eastAsia"/>
          <w:sz w:val="32"/>
          <w:szCs w:val="32"/>
          <w:lang w:eastAsia="zh-TW"/>
        </w:rPr>
        <w:t>疾病的投保人開展核保處理，或對保險期間內患重大疾病的投保人採取有條件的保證續保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；對於連續兩年賠付率超過</w:t>
      </w:r>
      <w:r w:rsidRPr="00056D34">
        <w:rPr>
          <w:rFonts w:ascii="仿宋_GB2312" w:eastAsia="PMingLiU" w:hAnsi="仿宋"/>
          <w:sz w:val="32"/>
          <w:szCs w:val="32"/>
          <w:lang w:eastAsia="zh-TW"/>
        </w:rPr>
        <w:t>100%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的情形，允許保險機構申請上調</w:t>
      </w:r>
      <w:proofErr w:type="gramStart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稅優健康</w:t>
      </w:r>
      <w:proofErr w:type="gramEnd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保險的風險保險費率、設定一定</w:t>
      </w:r>
      <w:proofErr w:type="gramStart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免賠額等承</w:t>
      </w:r>
      <w:proofErr w:type="gramEnd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保條件。建議監管部門制定相關產品責任調整規則，允許定期調整</w:t>
      </w:r>
      <w:proofErr w:type="gramStart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既往症定義</w:t>
      </w:r>
      <w:proofErr w:type="gramEnd"/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、正</w:t>
      </w:r>
      <w:r w:rsidRPr="00056D34">
        <w:rPr>
          <w:rFonts w:ascii="仿宋_GB2312" w:eastAsia="PMingLiU" w:hAnsi="仿宋"/>
          <w:sz w:val="32"/>
          <w:szCs w:val="32"/>
          <w:lang w:eastAsia="zh-TW"/>
        </w:rPr>
        <w:t>/</w:t>
      </w:r>
      <w:r w:rsidRPr="00056D34">
        <w:rPr>
          <w:rFonts w:ascii="仿宋_GB2312" w:eastAsia="PMingLiU" w:hAnsi="仿宋" w:hint="eastAsia"/>
          <w:sz w:val="32"/>
          <w:szCs w:val="32"/>
          <w:lang w:eastAsia="zh-TW"/>
        </w:rPr>
        <w:t>負面清單、特定門診治療手段、慢性病定義等條款內容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。</w:t>
      </w:r>
    </w:p>
    <w:p w14:paraId="45B3DB2A" w14:textId="51C5FD4C" w:rsidR="00733761" w:rsidRDefault="00056D34" w:rsidP="00ED2E32">
      <w:pPr>
        <w:spacing w:line="560" w:lineRule="exact"/>
        <w:ind w:firstLineChars="200" w:firstLine="641"/>
        <w:rPr>
          <w:rFonts w:ascii="仿宋_GB2312" w:eastAsia="仿宋_GB2312"/>
          <w:b/>
          <w:sz w:val="32"/>
        </w:rPr>
      </w:pPr>
      <w:r w:rsidRPr="00056D34">
        <w:rPr>
          <w:rFonts w:ascii="仿宋_GB2312" w:eastAsia="PMingLiU" w:hint="eastAsia"/>
          <w:b/>
          <w:sz w:val="32"/>
          <w:lang w:eastAsia="zh-TW"/>
        </w:rPr>
        <w:t>四是豐富產品形態，放寬個人帳戶使用限制，提高政策靈活度。</w:t>
      </w:r>
      <w:r w:rsidRPr="00056D34">
        <w:rPr>
          <w:rFonts w:ascii="仿宋_GB2312" w:eastAsia="PMingLiU" w:hint="eastAsia"/>
          <w:sz w:val="32"/>
          <w:lang w:eastAsia="zh-TW"/>
        </w:rPr>
        <w:t>完善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保險的產品種類，逐步將給付型、津貼型等商業健康保險產品納入稅收優惠政策範圍，探索將護理險、健康管理等相關業務納入</w:t>
      </w:r>
      <w:proofErr w:type="gramStart"/>
      <w:r w:rsidRPr="00056D34">
        <w:rPr>
          <w:rFonts w:ascii="仿宋_GB2312" w:eastAsia="PMingLiU" w:hint="eastAsia"/>
          <w:sz w:val="32"/>
          <w:lang w:eastAsia="zh-TW"/>
        </w:rPr>
        <w:t>稅優健康</w:t>
      </w:r>
      <w:proofErr w:type="gramEnd"/>
      <w:r w:rsidRPr="00056D34">
        <w:rPr>
          <w:rFonts w:ascii="仿宋_GB2312" w:eastAsia="PMingLiU" w:hint="eastAsia"/>
          <w:sz w:val="32"/>
          <w:lang w:eastAsia="zh-TW"/>
        </w:rPr>
        <w:t>保險產品範圍。同時，</w:t>
      </w:r>
      <w:r w:rsidRPr="00056D34">
        <w:rPr>
          <w:rFonts w:ascii="仿宋_GB2312" w:eastAsia="PMingLiU" w:hint="eastAsia"/>
          <w:sz w:val="32"/>
          <w:szCs w:val="32"/>
          <w:lang w:eastAsia="zh-TW"/>
        </w:rPr>
        <w:t>在滿足一定條件下，可允許投保人在退休前使用個人帳戶購買商業健康保險、支付個人自負醫療費用，以鼓勵中青年群體參保。</w:t>
      </w:r>
    </w:p>
    <w:sectPr w:rsidR="007337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6028D" w14:textId="77777777" w:rsidR="00755575" w:rsidRDefault="00755575" w:rsidP="00E06AA3">
      <w:r>
        <w:separator/>
      </w:r>
    </w:p>
  </w:endnote>
  <w:endnote w:type="continuationSeparator" w:id="0">
    <w:p w14:paraId="4B530D10" w14:textId="77777777" w:rsidR="00755575" w:rsidRDefault="00755575" w:rsidP="00E0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43C1D" w14:textId="77777777" w:rsidR="003752E5" w:rsidRDefault="003752E5">
    <w:pPr>
      <w:pStyle w:val="a5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056D34" w:rsidRPr="00056D34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</w:t>
    </w:r>
    <w:r>
      <w:rPr>
        <w:color w:val="4F81BD" w:themeColor="accent1"/>
        <w:lang w:val="zh-CN"/>
      </w:rPr>
      <w:t xml:space="preserve">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056D34" w:rsidRPr="00056D34">
      <w:rPr>
        <w:noProof/>
        <w:color w:val="4F81BD" w:themeColor="accent1"/>
        <w:lang w:val="zh-CN"/>
      </w:rPr>
      <w:t>3</w:t>
    </w:r>
    <w:r>
      <w:rPr>
        <w:color w:val="4F81BD" w:themeColor="accent1"/>
      </w:rPr>
      <w:fldChar w:fldCharType="end"/>
    </w:r>
  </w:p>
  <w:p w14:paraId="20B05EBF" w14:textId="77777777" w:rsidR="003752E5" w:rsidRDefault="003752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DCDB" w14:textId="77777777" w:rsidR="00755575" w:rsidRDefault="00755575" w:rsidP="00E06AA3">
      <w:r>
        <w:separator/>
      </w:r>
    </w:p>
  </w:footnote>
  <w:footnote w:type="continuationSeparator" w:id="0">
    <w:p w14:paraId="64315D4C" w14:textId="77777777" w:rsidR="00755575" w:rsidRDefault="00755575" w:rsidP="00E0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2F"/>
    <w:rsid w:val="00005A0B"/>
    <w:rsid w:val="000200CB"/>
    <w:rsid w:val="000378CF"/>
    <w:rsid w:val="000411F0"/>
    <w:rsid w:val="000437B5"/>
    <w:rsid w:val="00056D34"/>
    <w:rsid w:val="000613D4"/>
    <w:rsid w:val="00061A0C"/>
    <w:rsid w:val="00080756"/>
    <w:rsid w:val="00096BD1"/>
    <w:rsid w:val="000976AC"/>
    <w:rsid w:val="000C06C2"/>
    <w:rsid w:val="000F1B64"/>
    <w:rsid w:val="000F2E0F"/>
    <w:rsid w:val="000F4C73"/>
    <w:rsid w:val="001001C1"/>
    <w:rsid w:val="001142DD"/>
    <w:rsid w:val="001207EB"/>
    <w:rsid w:val="001219EF"/>
    <w:rsid w:val="001547C0"/>
    <w:rsid w:val="00160833"/>
    <w:rsid w:val="00175479"/>
    <w:rsid w:val="001A139D"/>
    <w:rsid w:val="001A17CB"/>
    <w:rsid w:val="001D1F71"/>
    <w:rsid w:val="001F6B9C"/>
    <w:rsid w:val="002069B4"/>
    <w:rsid w:val="00222C25"/>
    <w:rsid w:val="00233373"/>
    <w:rsid w:val="00234428"/>
    <w:rsid w:val="00244EE0"/>
    <w:rsid w:val="00246ADC"/>
    <w:rsid w:val="00250672"/>
    <w:rsid w:val="00255836"/>
    <w:rsid w:val="00280086"/>
    <w:rsid w:val="00293C9E"/>
    <w:rsid w:val="00296A7E"/>
    <w:rsid w:val="002B0B75"/>
    <w:rsid w:val="002D1414"/>
    <w:rsid w:val="002E4334"/>
    <w:rsid w:val="002E4939"/>
    <w:rsid w:val="002F267E"/>
    <w:rsid w:val="003041BE"/>
    <w:rsid w:val="0032100E"/>
    <w:rsid w:val="003278AD"/>
    <w:rsid w:val="00330BE8"/>
    <w:rsid w:val="00330F61"/>
    <w:rsid w:val="00341EA1"/>
    <w:rsid w:val="00357DD8"/>
    <w:rsid w:val="00360AD7"/>
    <w:rsid w:val="00373DEB"/>
    <w:rsid w:val="003752E5"/>
    <w:rsid w:val="003911FA"/>
    <w:rsid w:val="003924D5"/>
    <w:rsid w:val="003B47E5"/>
    <w:rsid w:val="003E0773"/>
    <w:rsid w:val="003E124D"/>
    <w:rsid w:val="003E76FA"/>
    <w:rsid w:val="003F676D"/>
    <w:rsid w:val="00411C97"/>
    <w:rsid w:val="00425CF1"/>
    <w:rsid w:val="004271BF"/>
    <w:rsid w:val="0043288A"/>
    <w:rsid w:val="00434AC8"/>
    <w:rsid w:val="00436B6D"/>
    <w:rsid w:val="00445703"/>
    <w:rsid w:val="00454DF2"/>
    <w:rsid w:val="00464AC9"/>
    <w:rsid w:val="00475C46"/>
    <w:rsid w:val="00476609"/>
    <w:rsid w:val="0048126E"/>
    <w:rsid w:val="004B60D2"/>
    <w:rsid w:val="004B6B84"/>
    <w:rsid w:val="004D2F61"/>
    <w:rsid w:val="004E08C0"/>
    <w:rsid w:val="004E3471"/>
    <w:rsid w:val="004E7039"/>
    <w:rsid w:val="004F5E09"/>
    <w:rsid w:val="00512985"/>
    <w:rsid w:val="00513EC0"/>
    <w:rsid w:val="005241D4"/>
    <w:rsid w:val="00525D8D"/>
    <w:rsid w:val="00542D8F"/>
    <w:rsid w:val="005609C4"/>
    <w:rsid w:val="00563E3B"/>
    <w:rsid w:val="00581262"/>
    <w:rsid w:val="005817A0"/>
    <w:rsid w:val="00595CC9"/>
    <w:rsid w:val="00596A8A"/>
    <w:rsid w:val="005C4900"/>
    <w:rsid w:val="005C6FCB"/>
    <w:rsid w:val="005D7D18"/>
    <w:rsid w:val="005E34AF"/>
    <w:rsid w:val="00604846"/>
    <w:rsid w:val="00646C61"/>
    <w:rsid w:val="006478FF"/>
    <w:rsid w:val="006726C2"/>
    <w:rsid w:val="00673072"/>
    <w:rsid w:val="00673B4B"/>
    <w:rsid w:val="00676EB4"/>
    <w:rsid w:val="006804D9"/>
    <w:rsid w:val="006823C6"/>
    <w:rsid w:val="006869B0"/>
    <w:rsid w:val="00694D8C"/>
    <w:rsid w:val="006A1B45"/>
    <w:rsid w:val="006A430C"/>
    <w:rsid w:val="006A6DD5"/>
    <w:rsid w:val="006B5156"/>
    <w:rsid w:val="006D3FFF"/>
    <w:rsid w:val="006D6230"/>
    <w:rsid w:val="006E3617"/>
    <w:rsid w:val="006F28D8"/>
    <w:rsid w:val="0070175D"/>
    <w:rsid w:val="007054F2"/>
    <w:rsid w:val="0070764D"/>
    <w:rsid w:val="007213A7"/>
    <w:rsid w:val="00733761"/>
    <w:rsid w:val="00744391"/>
    <w:rsid w:val="00744C3B"/>
    <w:rsid w:val="007509B2"/>
    <w:rsid w:val="00755575"/>
    <w:rsid w:val="00757CCD"/>
    <w:rsid w:val="00763626"/>
    <w:rsid w:val="00764686"/>
    <w:rsid w:val="00765CFD"/>
    <w:rsid w:val="0077546F"/>
    <w:rsid w:val="007C3C76"/>
    <w:rsid w:val="007C5020"/>
    <w:rsid w:val="007E6746"/>
    <w:rsid w:val="007F2C98"/>
    <w:rsid w:val="007F35C5"/>
    <w:rsid w:val="0080164D"/>
    <w:rsid w:val="00810E31"/>
    <w:rsid w:val="00832445"/>
    <w:rsid w:val="00842F0F"/>
    <w:rsid w:val="00852BA6"/>
    <w:rsid w:val="0086210C"/>
    <w:rsid w:val="00862E07"/>
    <w:rsid w:val="00870F21"/>
    <w:rsid w:val="00871C64"/>
    <w:rsid w:val="00873DBE"/>
    <w:rsid w:val="00874668"/>
    <w:rsid w:val="00884EC5"/>
    <w:rsid w:val="00887869"/>
    <w:rsid w:val="00892783"/>
    <w:rsid w:val="00897728"/>
    <w:rsid w:val="008A022F"/>
    <w:rsid w:val="008D2FA3"/>
    <w:rsid w:val="008D6C3F"/>
    <w:rsid w:val="008E2990"/>
    <w:rsid w:val="008E4ED7"/>
    <w:rsid w:val="00904534"/>
    <w:rsid w:val="00907BE7"/>
    <w:rsid w:val="00911860"/>
    <w:rsid w:val="0091537E"/>
    <w:rsid w:val="009354A6"/>
    <w:rsid w:val="00940AF0"/>
    <w:rsid w:val="00943455"/>
    <w:rsid w:val="00943A7E"/>
    <w:rsid w:val="00954E66"/>
    <w:rsid w:val="00955964"/>
    <w:rsid w:val="00957077"/>
    <w:rsid w:val="0096401D"/>
    <w:rsid w:val="0096600E"/>
    <w:rsid w:val="00966E91"/>
    <w:rsid w:val="00970427"/>
    <w:rsid w:val="009C3583"/>
    <w:rsid w:val="009E4D86"/>
    <w:rsid w:val="009F42F4"/>
    <w:rsid w:val="009F4634"/>
    <w:rsid w:val="009F79B7"/>
    <w:rsid w:val="00A13C4F"/>
    <w:rsid w:val="00A34399"/>
    <w:rsid w:val="00A3508A"/>
    <w:rsid w:val="00A37068"/>
    <w:rsid w:val="00A453C4"/>
    <w:rsid w:val="00A801E2"/>
    <w:rsid w:val="00A81264"/>
    <w:rsid w:val="00A8278A"/>
    <w:rsid w:val="00A92708"/>
    <w:rsid w:val="00AA2CA4"/>
    <w:rsid w:val="00AB34A2"/>
    <w:rsid w:val="00AD6BEF"/>
    <w:rsid w:val="00AE13AE"/>
    <w:rsid w:val="00AF5F25"/>
    <w:rsid w:val="00B04C71"/>
    <w:rsid w:val="00B17B84"/>
    <w:rsid w:val="00B35F45"/>
    <w:rsid w:val="00B43EDA"/>
    <w:rsid w:val="00B468B0"/>
    <w:rsid w:val="00B50B11"/>
    <w:rsid w:val="00B50C3A"/>
    <w:rsid w:val="00B569FD"/>
    <w:rsid w:val="00B6484F"/>
    <w:rsid w:val="00B726C6"/>
    <w:rsid w:val="00B926EE"/>
    <w:rsid w:val="00BA1BBB"/>
    <w:rsid w:val="00BA6D77"/>
    <w:rsid w:val="00BB0F9F"/>
    <w:rsid w:val="00BB63CF"/>
    <w:rsid w:val="00BC2868"/>
    <w:rsid w:val="00BC4235"/>
    <w:rsid w:val="00BC60D5"/>
    <w:rsid w:val="00BD04CD"/>
    <w:rsid w:val="00BD120F"/>
    <w:rsid w:val="00BD25AB"/>
    <w:rsid w:val="00BD4120"/>
    <w:rsid w:val="00BE0F57"/>
    <w:rsid w:val="00BE22EF"/>
    <w:rsid w:val="00BF2913"/>
    <w:rsid w:val="00C206DF"/>
    <w:rsid w:val="00C3597F"/>
    <w:rsid w:val="00C80024"/>
    <w:rsid w:val="00CC5FA4"/>
    <w:rsid w:val="00CE400E"/>
    <w:rsid w:val="00CF65F4"/>
    <w:rsid w:val="00D1143B"/>
    <w:rsid w:val="00D30618"/>
    <w:rsid w:val="00D5023C"/>
    <w:rsid w:val="00D61CF2"/>
    <w:rsid w:val="00D7574E"/>
    <w:rsid w:val="00D87AC7"/>
    <w:rsid w:val="00D92350"/>
    <w:rsid w:val="00DA17EE"/>
    <w:rsid w:val="00DC4706"/>
    <w:rsid w:val="00DC7F62"/>
    <w:rsid w:val="00DE53A7"/>
    <w:rsid w:val="00DF142B"/>
    <w:rsid w:val="00DF1E66"/>
    <w:rsid w:val="00DF2CB8"/>
    <w:rsid w:val="00DF420B"/>
    <w:rsid w:val="00E05D33"/>
    <w:rsid w:val="00E06AA3"/>
    <w:rsid w:val="00E27B5A"/>
    <w:rsid w:val="00E56ADC"/>
    <w:rsid w:val="00E626FD"/>
    <w:rsid w:val="00E66CC9"/>
    <w:rsid w:val="00E709A0"/>
    <w:rsid w:val="00E73D0C"/>
    <w:rsid w:val="00E850FB"/>
    <w:rsid w:val="00E91DAF"/>
    <w:rsid w:val="00EB1028"/>
    <w:rsid w:val="00EB1682"/>
    <w:rsid w:val="00ED2E32"/>
    <w:rsid w:val="00EE3830"/>
    <w:rsid w:val="00EF2971"/>
    <w:rsid w:val="00F11F06"/>
    <w:rsid w:val="00F241B3"/>
    <w:rsid w:val="00F31380"/>
    <w:rsid w:val="00F434BC"/>
    <w:rsid w:val="00F510B9"/>
    <w:rsid w:val="00F64E14"/>
    <w:rsid w:val="00F703C6"/>
    <w:rsid w:val="00F73C84"/>
    <w:rsid w:val="00F903AE"/>
    <w:rsid w:val="00FA75E2"/>
    <w:rsid w:val="00FE0145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C3E9F"/>
  <w15:docId w15:val="{64324B4F-2133-466E-9A5A-97F7A89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06AA3"/>
    <w:pPr>
      <w:jc w:val="left"/>
      <w:outlineLvl w:val="0"/>
    </w:pPr>
    <w:rPr>
      <w:rFonts w:ascii="宋体" w:eastAsia="宋体" w:hAnsi="宋体" w:cs="Times New Roman" w:hint="eastAsia"/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06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06AA3"/>
    <w:rPr>
      <w:sz w:val="18"/>
      <w:szCs w:val="18"/>
    </w:rPr>
  </w:style>
  <w:style w:type="character" w:customStyle="1" w:styleId="10">
    <w:name w:val="標題 1 字元"/>
    <w:basedOn w:val="a0"/>
    <w:link w:val="1"/>
    <w:rsid w:val="00E06AA3"/>
    <w:rPr>
      <w:rFonts w:ascii="宋体" w:eastAsia="宋体" w:hAnsi="宋体" w:cs="Times New Roman"/>
      <w:b/>
      <w:kern w:val="4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0024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0024"/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219EF"/>
    <w:pPr>
      <w:snapToGrid w:val="0"/>
      <w:jc w:val="left"/>
    </w:pPr>
    <w:rPr>
      <w:sz w:val="18"/>
      <w:szCs w:val="18"/>
    </w:rPr>
  </w:style>
  <w:style w:type="character" w:customStyle="1" w:styleId="aa">
    <w:name w:val="註腳文字 字元"/>
    <w:basedOn w:val="a0"/>
    <w:link w:val="a9"/>
    <w:uiPriority w:val="99"/>
    <w:semiHidden/>
    <w:rsid w:val="001219EF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121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2352-F55C-4E77-85EB-46E8573C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moban</dc:creator>
  <cp:lastModifiedBy>Gloria Chan</cp:lastModifiedBy>
  <cp:revision>3</cp:revision>
  <cp:lastPrinted>2019-02-20T09:24:00Z</cp:lastPrinted>
  <dcterms:created xsi:type="dcterms:W3CDTF">2019-03-05T06:21:00Z</dcterms:created>
  <dcterms:modified xsi:type="dcterms:W3CDTF">2019-03-05T06:22:00Z</dcterms:modified>
</cp:coreProperties>
</file>