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 w:eastAsia="仿宋_GB2312" w:cs="仿宋"/>
          <w:b/>
          <w:sz w:val="32"/>
          <w:szCs w:val="32"/>
        </w:rPr>
      </w:pPr>
      <w:r>
        <w:rPr>
          <w:rFonts w:hint="eastAsia" w:ascii="仿宋_GB2312" w:hAnsi="仿宋" w:eastAsia="仿宋_GB2312" w:cs="仿宋"/>
          <w:b/>
          <w:sz w:val="32"/>
          <w:szCs w:val="32"/>
        </w:rPr>
        <w:t>供应商服务承诺函</w:t>
      </w:r>
    </w:p>
    <w:p>
      <w:pPr>
        <w:rPr>
          <w:rFonts w:hint="eastAsia" w:ascii="仿宋_GB2312" w:hAnsi="宋体" w:eastAsia="仿宋_GB2312"/>
        </w:rPr>
      </w:pPr>
      <w:r>
        <w:rPr>
          <w:rFonts w:hint="eastAsia" w:ascii="仿宋_GB2312" w:hAnsi="宋体" w:eastAsia="仿宋_GB2312" w:cs="仿宋"/>
          <w:sz w:val="32"/>
          <w:szCs w:val="32"/>
        </w:rPr>
        <w:t>本公司对中国人寿保险（海外）股份有限公司</w:t>
      </w:r>
      <w:r>
        <w:rPr>
          <w:rFonts w:hint="eastAsia" w:ascii="仿宋_GB2312" w:hAnsi="宋体" w:eastAsia="仿宋_GB2312" w:cs="仿宋"/>
          <w:sz w:val="32"/>
          <w:szCs w:val="32"/>
          <w:u w:val="single"/>
        </w:rPr>
        <w:t>企业级知识库平台项目</w:t>
      </w:r>
      <w:r>
        <w:rPr>
          <w:rFonts w:hint="eastAsia" w:ascii="仿宋_GB2312" w:hAnsi="宋体" w:eastAsia="仿宋_GB2312" w:cs="仿宋"/>
          <w:sz w:val="32"/>
          <w:szCs w:val="32"/>
        </w:rPr>
        <w:t>承诺如下：</w:t>
      </w:r>
    </w:p>
    <w:tbl>
      <w:tblPr>
        <w:tblStyle w:val="4"/>
        <w:tblW w:w="9214" w:type="dxa"/>
        <w:jc w:val="center"/>
        <w:tblLayout w:type="fixed"/>
        <w:tblCellMar>
          <w:top w:w="0" w:type="dxa"/>
          <w:left w:w="108" w:type="dxa"/>
          <w:bottom w:w="0" w:type="dxa"/>
          <w:right w:w="108" w:type="dxa"/>
        </w:tblCellMar>
      </w:tblPr>
      <w:tblGrid>
        <w:gridCol w:w="964"/>
        <w:gridCol w:w="1275"/>
        <w:gridCol w:w="5310"/>
        <w:gridCol w:w="1665"/>
      </w:tblGrid>
      <w:tr>
        <w:tblPrEx>
          <w:tblCellMar>
            <w:top w:w="0" w:type="dxa"/>
            <w:left w:w="108" w:type="dxa"/>
            <w:bottom w:w="0" w:type="dxa"/>
            <w:right w:w="108" w:type="dxa"/>
          </w:tblCellMar>
        </w:tblPrEx>
        <w:trPr>
          <w:trHeight w:val="285" w:hRule="atLeast"/>
          <w:jc w:val="center"/>
        </w:trPr>
        <w:tc>
          <w:tcPr>
            <w:tcW w:w="964" w:type="dxa"/>
            <w:tcBorders>
              <w:top w:val="single" w:color="auto" w:sz="4" w:space="0"/>
              <w:left w:val="single" w:color="auto" w:sz="4" w:space="0"/>
              <w:bottom w:val="single" w:color="auto" w:sz="4" w:space="0"/>
              <w:right w:val="single" w:color="auto" w:sz="4" w:space="0"/>
            </w:tcBorders>
            <w:shd w:val="clear" w:color="auto" w:fill="C0C0C0"/>
            <w:vAlign w:val="center"/>
          </w:tcPr>
          <w:p>
            <w:pPr>
              <w:widowControl/>
              <w:rPr>
                <w:rFonts w:hint="eastAsia" w:ascii="仿宋" w:hAnsi="仿宋" w:eastAsia="仿宋" w:cs="仿宋"/>
                <w:kern w:val="0"/>
                <w:sz w:val="24"/>
              </w:rPr>
            </w:pPr>
            <w:r>
              <w:rPr>
                <w:rFonts w:hint="eastAsia" w:ascii="仿宋" w:hAnsi="仿宋" w:eastAsia="仿宋" w:cs="仿宋"/>
                <w:kern w:val="0"/>
                <w:sz w:val="24"/>
              </w:rPr>
              <w:t>服务项目</w:t>
            </w:r>
          </w:p>
        </w:tc>
        <w:tc>
          <w:tcPr>
            <w:tcW w:w="1275" w:type="dxa"/>
            <w:tcBorders>
              <w:top w:val="single" w:color="auto" w:sz="4" w:space="0"/>
              <w:left w:val="single" w:color="auto" w:sz="4" w:space="0"/>
              <w:bottom w:val="single" w:color="auto" w:sz="4" w:space="0"/>
              <w:right w:val="single" w:color="auto" w:sz="4" w:space="0"/>
            </w:tcBorders>
            <w:shd w:val="clear" w:color="auto" w:fill="C0C0C0"/>
            <w:vAlign w:val="center"/>
          </w:tcPr>
          <w:p>
            <w:pPr>
              <w:widowControl/>
              <w:rPr>
                <w:rFonts w:hint="eastAsia" w:ascii="仿宋" w:hAnsi="仿宋" w:eastAsia="仿宋" w:cs="仿宋"/>
                <w:kern w:val="0"/>
                <w:sz w:val="24"/>
              </w:rPr>
            </w:pPr>
            <w:r>
              <w:rPr>
                <w:rFonts w:hint="eastAsia" w:ascii="仿宋" w:hAnsi="仿宋" w:eastAsia="仿宋" w:cs="仿宋"/>
                <w:kern w:val="0"/>
                <w:sz w:val="24"/>
              </w:rPr>
              <w:t>服务细项</w:t>
            </w:r>
          </w:p>
        </w:tc>
        <w:tc>
          <w:tcPr>
            <w:tcW w:w="5310" w:type="dxa"/>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rPr>
                <w:rFonts w:hint="eastAsia" w:ascii="仿宋" w:hAnsi="仿宋" w:eastAsia="仿宋" w:cs="仿宋"/>
                <w:kern w:val="0"/>
                <w:sz w:val="24"/>
              </w:rPr>
            </w:pPr>
            <w:r>
              <w:rPr>
                <w:rFonts w:hint="eastAsia" w:ascii="仿宋" w:hAnsi="仿宋" w:eastAsia="仿宋" w:cs="仿宋"/>
                <w:kern w:val="0"/>
                <w:sz w:val="24"/>
              </w:rPr>
              <w:t>基本内容</w:t>
            </w:r>
          </w:p>
        </w:tc>
        <w:tc>
          <w:tcPr>
            <w:tcW w:w="1665" w:type="dxa"/>
            <w:tcBorders>
              <w:top w:val="single" w:color="auto" w:sz="4" w:space="0"/>
              <w:left w:val="single" w:color="auto" w:sz="4" w:space="0"/>
              <w:bottom w:val="single" w:color="auto" w:sz="4" w:space="0"/>
              <w:right w:val="single" w:color="auto" w:sz="4" w:space="0"/>
            </w:tcBorders>
            <w:shd w:val="clear" w:color="auto" w:fill="C0C0C0"/>
            <w:vAlign w:val="center"/>
          </w:tcPr>
          <w:p>
            <w:pPr>
              <w:widowControl/>
              <w:rPr>
                <w:rFonts w:hint="eastAsia" w:ascii="仿宋" w:hAnsi="仿宋" w:eastAsia="仿宋" w:cs="仿宋"/>
                <w:kern w:val="0"/>
                <w:sz w:val="24"/>
              </w:rPr>
            </w:pPr>
            <w:r>
              <w:rPr>
                <w:rFonts w:hint="eastAsia" w:ascii="仿宋" w:hAnsi="仿宋" w:eastAsia="仿宋" w:cs="仿宋"/>
                <w:kern w:val="0"/>
                <w:sz w:val="24"/>
              </w:rPr>
              <w:t>投标承诺（如不满足，请说明）</w:t>
            </w:r>
          </w:p>
        </w:tc>
      </w:tr>
      <w:tr>
        <w:tblPrEx>
          <w:tblCellMar>
            <w:top w:w="0" w:type="dxa"/>
            <w:left w:w="108" w:type="dxa"/>
            <w:bottom w:w="0" w:type="dxa"/>
            <w:right w:w="108" w:type="dxa"/>
          </w:tblCellMar>
        </w:tblPrEx>
        <w:trPr>
          <w:trHeight w:val="960" w:hRule="atLeast"/>
          <w:jc w:val="center"/>
        </w:trPr>
        <w:tc>
          <w:tcPr>
            <w:tcW w:w="964" w:type="dxa"/>
            <w:vMerge w:val="restart"/>
            <w:tcBorders>
              <w:top w:val="single" w:color="auto" w:sz="4" w:space="0"/>
              <w:left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标准产品基本保障</w:t>
            </w: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标准通用</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供应商标准产品成熟可靠，能通过招标方质量、安全、性能方面的检测，满足企业要求</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960" w:hRule="atLeast"/>
          <w:jc w:val="center"/>
        </w:trPr>
        <w:tc>
          <w:tcPr>
            <w:tcW w:w="964" w:type="dxa"/>
            <w:vMerge w:val="continue"/>
            <w:tcBorders>
              <w:left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性能稳定</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hint="eastAsia" w:ascii="仿宋" w:hAnsi="仿宋" w:eastAsia="仿宋" w:cs="仿宋"/>
                <w:kern w:val="0"/>
                <w:sz w:val="24"/>
              </w:rPr>
              <w:t>系统支持高并发数据访问，系统意外故障自动恢复，支持系统数据库备份，能够承受较大规模用户（千人级）的并发访问与会话连接。响应时间快，更新内容快。</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960" w:hRule="atLeast"/>
          <w:jc w:val="center"/>
        </w:trPr>
        <w:tc>
          <w:tcPr>
            <w:tcW w:w="964" w:type="dxa"/>
            <w:vMerge w:val="continue"/>
            <w:tcBorders>
              <w:left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安全可靠合规性</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ascii="仿宋" w:hAnsi="仿宋" w:eastAsia="仿宋" w:cs="仿宋"/>
                <w:kern w:val="0"/>
                <w:sz w:val="24"/>
              </w:rPr>
              <w:t>系统应具有高度的可靠性和安全性</w:t>
            </w:r>
            <w:r>
              <w:rPr>
                <w:rFonts w:hint="eastAsia" w:ascii="仿宋" w:hAnsi="仿宋" w:eastAsia="仿宋" w:cs="仿宋"/>
                <w:kern w:val="0"/>
                <w:sz w:val="24"/>
              </w:rPr>
              <w:t>。满足招标文件所提要求</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960" w:hRule="atLeast"/>
          <w:jc w:val="center"/>
        </w:trPr>
        <w:tc>
          <w:tcPr>
            <w:tcW w:w="964" w:type="dxa"/>
            <w:vMerge w:val="continue"/>
            <w:tcBorders>
              <w:left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开放性</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hint="eastAsia" w:ascii="仿宋" w:hAnsi="仿宋" w:eastAsia="仿宋" w:cs="仿宋"/>
                <w:kern w:val="0"/>
                <w:sz w:val="24"/>
              </w:rPr>
              <w:t>统设计遵循开放原则，使用公共的协议和接口标准，整体上需具备代码开放、接口开放、数据库开放的条件，便于系统的扩展和维护。</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960" w:hRule="atLeast"/>
          <w:jc w:val="center"/>
        </w:trPr>
        <w:tc>
          <w:tcPr>
            <w:tcW w:w="964" w:type="dxa"/>
            <w:vMerge w:val="continue"/>
            <w:tcBorders>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易使用性</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hint="eastAsia" w:ascii="仿宋" w:hAnsi="仿宋" w:eastAsia="仿宋" w:cs="仿宋"/>
                <w:kern w:val="0"/>
                <w:sz w:val="24"/>
              </w:rPr>
              <w:t>系统软件功能齐全，符合项目需求，操作简单，使用人性化。可提供标准系统集成方案，应用系统集成可简单通过API调用接入。</w:t>
            </w:r>
          </w:p>
          <w:p>
            <w:pPr>
              <w:widowControl/>
              <w:rPr>
                <w:rFonts w:hint="eastAsia" w:ascii="仿宋" w:hAnsi="仿宋" w:eastAsia="仿宋" w:cs="仿宋"/>
                <w:kern w:val="0"/>
                <w:sz w:val="24"/>
              </w:rPr>
            </w:pP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440" w:hRule="atLeast"/>
          <w:jc w:val="center"/>
        </w:trPr>
        <w:tc>
          <w:tcPr>
            <w:tcW w:w="964" w:type="dxa"/>
            <w:vMerge w:val="restart"/>
            <w:tcBorders>
              <w:top w:val="single" w:color="auto" w:sz="4" w:space="0"/>
              <w:left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系统建设要求</w:t>
            </w: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标准产品要求</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供应商标准产品，因从知识采集、知识管理、知识应用、知识运营、知识培训、知识互动六大方面满足产品要求，确保所提供标准产品与投标响应结果一致</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85" w:hRule="atLeast"/>
          <w:jc w:val="center"/>
        </w:trPr>
        <w:tc>
          <w:tcPr>
            <w:tcW w:w="964" w:type="dxa"/>
            <w:vMerge w:val="continue"/>
            <w:tcBorders>
              <w:left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实施部署要求</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供应商实施部署期间确保完全符合招标文件实施部署要求，确保实施部署要求标准与投标响应结果一致</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894" w:hRule="atLeast"/>
          <w:jc w:val="center"/>
        </w:trPr>
        <w:tc>
          <w:tcPr>
            <w:tcW w:w="964" w:type="dxa"/>
            <w:vMerge w:val="continue"/>
            <w:tcBorders>
              <w:left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性能要求</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供应商确保所提供标准产品与投标响应结果一致</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vMerge w:val="continue"/>
            <w:tcBorders>
              <w:left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安全合规要求</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hint="eastAsia" w:ascii="仿宋" w:hAnsi="仿宋" w:eastAsia="仿宋" w:cs="仿宋"/>
                <w:kern w:val="0"/>
                <w:sz w:val="24"/>
              </w:rPr>
              <w:t>供应商所提供标准产品系统安全要求和数据安全要求确保与投标响应结果一致</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vMerge w:val="continue"/>
            <w:tcBorders>
              <w:left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系统集成要求</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ascii="仿宋" w:hAnsi="仿宋" w:eastAsia="仿宋" w:cs="仿宋"/>
                <w:kern w:val="0"/>
                <w:sz w:val="24"/>
              </w:rPr>
              <w:t>系统具备标准化集成和拓展能力，后期实现与其他业务系统集成。</w:t>
            </w:r>
            <w:r>
              <w:rPr>
                <w:rFonts w:hint="eastAsia" w:ascii="仿宋" w:hAnsi="仿宋" w:eastAsia="仿宋" w:cs="仿宋"/>
                <w:kern w:val="0"/>
                <w:sz w:val="24"/>
              </w:rPr>
              <w:t>供应商所提供标准产品所具备的系统集成能力确保与投标响应结果一致</w:t>
            </w:r>
          </w:p>
          <w:p>
            <w:pPr>
              <w:widowControl/>
              <w:rPr>
                <w:rFonts w:ascii="仿宋" w:hAnsi="仿宋" w:eastAsia="仿宋" w:cs="仿宋"/>
                <w:kern w:val="0"/>
                <w:sz w:val="24"/>
              </w:rPr>
            </w:pP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vMerge w:val="continue"/>
            <w:tcBorders>
              <w:left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产品体验要求</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ascii="仿宋" w:hAnsi="仿宋" w:eastAsia="仿宋" w:cs="仿宋"/>
                <w:kern w:val="0"/>
                <w:sz w:val="24"/>
              </w:rPr>
              <w:t>系统功能使用要求：系统平台页面美观，操作简介，页面支持可配置化，用户培训后即可上手操作。</w:t>
            </w:r>
          </w:p>
          <w:p>
            <w:pPr>
              <w:widowControl/>
              <w:rPr>
                <w:rFonts w:ascii="仿宋" w:hAnsi="仿宋" w:eastAsia="仿宋" w:cs="仿宋"/>
                <w:kern w:val="0"/>
                <w:sz w:val="24"/>
              </w:rPr>
            </w:pPr>
            <w:r>
              <w:rPr>
                <w:rFonts w:ascii="仿宋" w:hAnsi="仿宋" w:eastAsia="仿宋" w:cs="仿宋"/>
                <w:kern w:val="0"/>
                <w:sz w:val="24"/>
              </w:rPr>
              <w:t>系统操作指引：标准知识库系统上线后，有专门针对新手用户的知识库使用指引，且指引工程中可对语言进行切换如：中文指引、英文指引等。</w:t>
            </w:r>
          </w:p>
          <w:p>
            <w:pPr>
              <w:widowControl/>
              <w:rPr>
                <w:rFonts w:ascii="仿宋" w:hAnsi="仿宋" w:eastAsia="仿宋" w:cs="仿宋"/>
                <w:kern w:val="0"/>
                <w:sz w:val="24"/>
              </w:rPr>
            </w:pP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vMerge w:val="continue"/>
            <w:tcBorders>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hint="eastAsia" w:ascii="仿宋" w:hAnsi="仿宋" w:eastAsia="仿宋" w:cs="仿宋"/>
                <w:kern w:val="0"/>
                <w:sz w:val="24"/>
              </w:rPr>
              <w:t>维护要求</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ascii="仿宋" w:hAnsi="仿宋" w:eastAsia="仿宋" w:cs="仿宋"/>
                <w:kern w:val="0"/>
                <w:sz w:val="24"/>
              </w:rPr>
              <w:t>（1）具备统一的管理和维护界面、通过该维护界面可实现尽可能完整的运行管理功能：包括用户管理、权限管理、配置管理、等。具备完善的日志记录功能，并易于查询。</w:t>
            </w:r>
          </w:p>
          <w:p>
            <w:pPr>
              <w:widowControl/>
              <w:rPr>
                <w:rFonts w:ascii="仿宋" w:hAnsi="仿宋" w:eastAsia="仿宋" w:cs="仿宋"/>
                <w:kern w:val="0"/>
                <w:sz w:val="24"/>
              </w:rPr>
            </w:pPr>
            <w:r>
              <w:rPr>
                <w:rFonts w:ascii="仿宋" w:hAnsi="仿宋" w:eastAsia="仿宋" w:cs="仿宋"/>
                <w:kern w:val="0"/>
                <w:sz w:val="24"/>
              </w:rPr>
              <w:t>（2）系统管理员通过浏览器方式，进行系统参数配置及其他日常维护管理工作。</w:t>
            </w:r>
          </w:p>
          <w:p>
            <w:pPr>
              <w:widowControl/>
              <w:rPr>
                <w:rFonts w:ascii="仿宋" w:hAnsi="仿宋" w:eastAsia="仿宋" w:cs="仿宋"/>
                <w:kern w:val="0"/>
                <w:sz w:val="24"/>
              </w:rPr>
            </w:pPr>
            <w:r>
              <w:rPr>
                <w:rFonts w:ascii="仿宋" w:hAnsi="仿宋" w:eastAsia="仿宋" w:cs="仿宋"/>
                <w:kern w:val="0"/>
                <w:sz w:val="24"/>
              </w:rPr>
              <w:t>（3）具备每年进行版本版本升级的能力，确保系统每年能进行一次版本更新。</w:t>
            </w:r>
          </w:p>
          <w:p>
            <w:pPr>
              <w:widowControl/>
              <w:rPr>
                <w:rFonts w:ascii="仿宋" w:hAnsi="仿宋" w:eastAsia="仿宋" w:cs="仿宋"/>
                <w:kern w:val="0"/>
                <w:sz w:val="24"/>
              </w:rPr>
            </w:pP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vMerge w:val="continue"/>
            <w:tcBorders>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其他要求</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本项目其他要求，确保所提供标准产品与投标响应结果一致</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ascii="黑体" w:hAnsi="黑体" w:cs="黑体"/>
                <w:szCs w:val="32"/>
              </w:rPr>
              <w:t>管理咨询服务要求</w:t>
            </w: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供应商确保有为客户提供专业知识管理咨询服务的能力，确保所提供服务能力与投标响应结果一致</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tcBorders>
              <w:top w:val="single" w:color="auto" w:sz="4" w:space="0"/>
              <w:left w:val="single" w:color="auto" w:sz="4" w:space="0"/>
              <w:bottom w:val="single" w:color="auto" w:sz="4" w:space="0"/>
              <w:right w:val="single" w:color="auto" w:sz="4" w:space="0"/>
            </w:tcBorders>
            <w:vAlign w:val="center"/>
          </w:tcPr>
          <w:p>
            <w:pPr>
              <w:widowControl/>
              <w:rPr>
                <w:rFonts w:hint="default" w:ascii="黑体" w:hAnsi="黑体" w:eastAsia="宋体" w:cs="黑体"/>
                <w:szCs w:val="32"/>
                <w:lang w:val="en-US" w:eastAsia="zh-CN"/>
              </w:rPr>
            </w:pPr>
            <w:r>
              <w:rPr>
                <w:rFonts w:hint="eastAsia" w:ascii="黑体" w:hAnsi="黑体" w:cs="黑体"/>
                <w:szCs w:val="32"/>
                <w:lang w:val="en-US" w:eastAsia="zh-CN"/>
              </w:rPr>
              <w:t>人力要求</w:t>
            </w: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hint="eastAsia" w:ascii="仿宋" w:hAnsi="仿宋" w:eastAsia="仿宋" w:cs="仿宋"/>
                <w:kern w:val="0"/>
                <w:sz w:val="24"/>
              </w:rPr>
              <w:t>确保所提供</w:t>
            </w:r>
            <w:r>
              <w:rPr>
                <w:rFonts w:hint="eastAsia" w:ascii="仿宋" w:hAnsi="仿宋" w:eastAsia="仿宋" w:cs="仿宋"/>
                <w:kern w:val="0"/>
                <w:sz w:val="24"/>
                <w:lang w:val="en-US" w:eastAsia="zh-CN"/>
              </w:rPr>
              <w:t>驻场人力</w:t>
            </w:r>
            <w:r>
              <w:rPr>
                <w:rFonts w:hint="eastAsia" w:ascii="仿宋" w:hAnsi="仿宋" w:eastAsia="仿宋" w:cs="仿宋"/>
                <w:kern w:val="0"/>
                <w:sz w:val="24"/>
              </w:rPr>
              <w:t>与投标响应结果一致</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vMerge w:val="restart"/>
            <w:tcBorders>
              <w:top w:val="single" w:color="auto" w:sz="4" w:space="0"/>
              <w:left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项目实施及培训要求</w:t>
            </w: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项目工期</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hint="eastAsia" w:ascii="仿宋" w:hAnsi="仿宋" w:eastAsia="仿宋" w:cs="仿宋"/>
                <w:kern w:val="0"/>
                <w:sz w:val="24"/>
              </w:rPr>
              <w:t>确保与项目招标时所承诺服务要求一致，本项目要求合同签订后2个月内完成标准产品交付上线。</w:t>
            </w:r>
          </w:p>
          <w:p>
            <w:pPr>
              <w:widowControl/>
              <w:rPr>
                <w:rFonts w:ascii="仿宋" w:hAnsi="仿宋" w:eastAsia="仿宋" w:cs="仿宋"/>
                <w:kern w:val="0"/>
                <w:sz w:val="24"/>
              </w:rPr>
            </w:pP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vMerge w:val="continue"/>
            <w:tcBorders>
              <w:left w:val="single" w:color="auto" w:sz="4" w:space="0"/>
              <w:right w:val="single" w:color="auto" w:sz="4" w:space="0"/>
            </w:tcBorders>
            <w:vAlign w:val="center"/>
          </w:tcPr>
          <w:p>
            <w:pPr>
              <w:widowControl/>
              <w:rPr>
                <w:rFonts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团队要求</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实施团队配备标准确保投标响应结果一致</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vMerge w:val="continue"/>
            <w:tcBorders>
              <w:left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实施要求</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确保与项目投标响应时所承诺服务要求一致</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vMerge w:val="continue"/>
            <w:tcBorders>
              <w:left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kern w:val="0"/>
                <w:sz w:val="24"/>
              </w:rPr>
            </w:pPr>
            <w:r>
              <w:rPr>
                <w:rFonts w:hint="eastAsia" w:ascii="仿宋" w:hAnsi="仿宋" w:eastAsia="仿宋" w:cs="仿宋"/>
                <w:kern w:val="0"/>
                <w:sz w:val="24"/>
              </w:rPr>
              <w:t>培训要求</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hint="eastAsia" w:ascii="仿宋" w:hAnsi="仿宋" w:eastAsia="仿宋" w:cs="仿宋"/>
                <w:kern w:val="0"/>
                <w:sz w:val="24"/>
              </w:rPr>
              <w:t>项目人员培训：需要为项目组提供专业的培训，包括系统操作使用培训，技术培训（代码、数据服务器、），后台运维操作培训等。</w:t>
            </w:r>
          </w:p>
          <w:p>
            <w:pPr>
              <w:widowControl/>
              <w:rPr>
                <w:rFonts w:hint="eastAsia" w:ascii="仿宋" w:hAnsi="仿宋" w:eastAsia="仿宋" w:cs="仿宋"/>
                <w:kern w:val="0"/>
                <w:sz w:val="24"/>
              </w:rPr>
            </w:pPr>
            <w:r>
              <w:rPr>
                <w:rFonts w:hint="eastAsia" w:ascii="仿宋" w:hAnsi="仿宋" w:eastAsia="仿宋" w:cs="仿宋"/>
                <w:kern w:val="0"/>
                <w:sz w:val="24"/>
              </w:rPr>
              <w:t>用户培训: 定期为用户进行知识库系统使用培训，知识应用培训，知识管理体系建设培训，帮助用户快速的将产品使用起来。</w:t>
            </w:r>
          </w:p>
          <w:p>
            <w:pPr>
              <w:widowControl/>
              <w:rPr>
                <w:rFonts w:hint="eastAsia" w:ascii="仿宋" w:hAnsi="仿宋" w:eastAsia="仿宋" w:cs="仿宋"/>
                <w:kern w:val="0"/>
                <w:sz w:val="24"/>
              </w:rPr>
            </w:pP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vMerge w:val="continue"/>
            <w:tcBorders>
              <w:left w:val="single" w:color="auto" w:sz="4" w:space="0"/>
              <w:right w:val="single" w:color="auto" w:sz="4" w:space="0"/>
            </w:tcBorders>
            <w:vAlign w:val="center"/>
          </w:tcPr>
          <w:p>
            <w:pPr>
              <w:widowControl/>
              <w:rPr>
                <w:rFonts w:hint="eastAsia" w:ascii="仿宋" w:hAnsi="仿宋" w:eastAsia="仿宋" w:cs="仿宋"/>
                <w:kern w:val="0"/>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hint="eastAsia" w:ascii="仿宋" w:hAnsi="仿宋" w:eastAsia="仿宋" w:cs="仿宋"/>
                <w:kern w:val="0"/>
                <w:sz w:val="24"/>
              </w:rPr>
              <w:t>售后服务团队支持</w:t>
            </w:r>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hint="eastAsia" w:ascii="仿宋" w:hAnsi="仿宋" w:eastAsia="仿宋" w:cs="仿宋"/>
                <w:kern w:val="0"/>
                <w:sz w:val="24"/>
              </w:rPr>
              <w:t>项目通过验收之日起，必须至少提供一年的原厂免费维保服务，包括：包括问题解决，漏洞修复，系统升级，定期巡检服务等。</w:t>
            </w:r>
          </w:p>
          <w:p>
            <w:pPr>
              <w:widowControl/>
              <w:rPr>
                <w:rFonts w:hint="eastAsia" w:ascii="仿宋" w:hAnsi="仿宋" w:eastAsia="仿宋" w:cs="仿宋"/>
                <w:kern w:val="0"/>
                <w:sz w:val="24"/>
              </w:rPr>
            </w:pPr>
            <w:r>
              <w:rPr>
                <w:rFonts w:hint="eastAsia" w:ascii="仿宋" w:hAnsi="仿宋" w:eastAsia="仿宋" w:cs="仿宋"/>
                <w:kern w:val="0"/>
                <w:sz w:val="24"/>
              </w:rPr>
              <w:t>专门的售后服务团队，能够提供7*24售后服务，对于用户问题必须在30分钟内进行回应；对于严重的系统问题，必须在2小时之内处理解决，并在问题解决后1小时内输出事故报告；其次对于必须派人现场解决的问题，在收到服务通知后，必须在客户要求时间内到达现场。</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r>
        <w:tblPrEx>
          <w:tblCellMar>
            <w:top w:w="0" w:type="dxa"/>
            <w:left w:w="108" w:type="dxa"/>
            <w:bottom w:w="0" w:type="dxa"/>
            <w:right w:w="108" w:type="dxa"/>
          </w:tblCellMar>
        </w:tblPrEx>
        <w:trPr>
          <w:trHeight w:val="1720" w:hRule="atLeast"/>
          <w:jc w:val="center"/>
        </w:trPr>
        <w:tc>
          <w:tcPr>
            <w:tcW w:w="964" w:type="dxa"/>
            <w:tcBorders>
              <w:left w:val="single" w:color="auto" w:sz="4" w:space="0"/>
              <w:bottom w:val="single" w:color="auto" w:sz="4" w:space="0"/>
              <w:right w:val="single" w:color="auto" w:sz="4" w:space="0"/>
            </w:tcBorders>
            <w:vAlign w:val="center"/>
          </w:tcPr>
          <w:p>
            <w:pPr>
              <w:widowControl/>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服务要求</w:t>
            </w:r>
          </w:p>
        </w:tc>
        <w:tc>
          <w:tcPr>
            <w:tcW w:w="127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bookmarkStart w:id="0" w:name="_GoBack"/>
            <w:bookmarkEnd w:id="0"/>
          </w:p>
        </w:tc>
        <w:tc>
          <w:tcPr>
            <w:tcW w:w="5310"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r>
              <w:rPr>
                <w:rFonts w:hint="eastAsia" w:ascii="仿宋" w:hAnsi="仿宋" w:eastAsia="仿宋" w:cs="仿宋"/>
                <w:kern w:val="0"/>
                <w:sz w:val="24"/>
              </w:rPr>
              <w:t>确保与项目投标响应时所承诺服务要求一致</w:t>
            </w:r>
          </w:p>
        </w:tc>
        <w:tc>
          <w:tcPr>
            <w:tcW w:w="1665" w:type="dxa"/>
            <w:tcBorders>
              <w:top w:val="single" w:color="auto" w:sz="4" w:space="0"/>
              <w:left w:val="single" w:color="auto" w:sz="4" w:space="0"/>
              <w:bottom w:val="single" w:color="auto" w:sz="4" w:space="0"/>
              <w:right w:val="single" w:color="auto" w:sz="4" w:space="0"/>
            </w:tcBorders>
            <w:vAlign w:val="center"/>
          </w:tcPr>
          <w:p>
            <w:pPr>
              <w:widowControl/>
              <w:rPr>
                <w:rFonts w:hint="eastAsia" w:ascii="仿宋" w:hAnsi="仿宋" w:eastAsia="仿宋" w:cs="仿宋"/>
                <w:kern w:val="0"/>
                <w:sz w:val="24"/>
              </w:rPr>
            </w:pPr>
          </w:p>
        </w:tc>
      </w:tr>
    </w:tbl>
    <w:p/>
    <w:p>
      <w:pPr>
        <w:ind w:firstLine="5553" w:firstLineChars="2314"/>
        <w:jc w:val="center"/>
        <w:rPr>
          <w:rFonts w:hint="eastAsia" w:ascii="仿宋" w:hAnsi="仿宋" w:eastAsia="仿宋" w:cs="仿宋"/>
          <w:kern w:val="0"/>
          <w:sz w:val="24"/>
        </w:rPr>
      </w:pPr>
      <w:r>
        <w:rPr>
          <w:rFonts w:hint="eastAsia" w:ascii="仿宋" w:hAnsi="仿宋" w:eastAsia="仿宋" w:cs="仿宋"/>
          <w:kern w:val="0"/>
          <w:sz w:val="24"/>
        </w:rPr>
        <w:t>供应商代表签字：</w:t>
      </w:r>
    </w:p>
    <w:p>
      <w:pPr>
        <w:ind w:firstLine="5616" w:firstLineChars="2340"/>
        <w:rPr>
          <w:rFonts w:hint="eastAsia" w:ascii="仿宋" w:hAnsi="仿宋" w:eastAsia="仿宋" w:cs="仿宋"/>
          <w:kern w:val="0"/>
          <w:sz w:val="24"/>
        </w:rPr>
      </w:pPr>
    </w:p>
    <w:p>
      <w:pPr>
        <w:ind w:firstLine="5616" w:firstLineChars="2340"/>
        <w:jc w:val="center"/>
        <w:rPr>
          <w:rFonts w:hint="eastAsia" w:ascii="仿宋" w:hAnsi="仿宋" w:eastAsia="仿宋" w:cs="仿宋"/>
          <w:sz w:val="24"/>
        </w:rPr>
      </w:pPr>
      <w:r>
        <w:rPr>
          <w:rFonts w:hint="eastAsia" w:ascii="仿宋" w:hAnsi="仿宋" w:eastAsia="仿宋" w:cs="仿宋"/>
          <w:kern w:val="0"/>
          <w:sz w:val="24"/>
        </w:rPr>
        <w:t>（供应商盖章）</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1NTdmNzdlZGVmNzllYWMyMzQyMzVjN2NhZTk5ZTEifQ=="/>
  </w:docVars>
  <w:rsids>
    <w:rsidRoot w:val="00D930D0"/>
    <w:rsid w:val="003C04AE"/>
    <w:rsid w:val="00411C07"/>
    <w:rsid w:val="007D4AB3"/>
    <w:rsid w:val="008549BB"/>
    <w:rsid w:val="00980301"/>
    <w:rsid w:val="00B3590A"/>
    <w:rsid w:val="00D54B95"/>
    <w:rsid w:val="00D930D0"/>
    <w:rsid w:val="00F349F5"/>
    <w:rsid w:val="2A4E7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1372</Words>
  <Characters>1378</Characters>
  <Lines>10</Lines>
  <Paragraphs>2</Paragraphs>
  <TotalTime>0</TotalTime>
  <ScaleCrop>false</ScaleCrop>
  <LinksUpToDate>false</LinksUpToDate>
  <CharactersWithSpaces>1379</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2023-03-28T15:39:00Z</dcterms:created>
  <dc:creator>S0222 丁盛伟</dc:creator>
  <cp:lastModifiedBy>潇潇</cp:lastModifiedBy>
  <dcterms:modified xsi:type="dcterms:W3CDTF">2023-03-29T13:03:45Z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99F9635957AB4C65B7FD90B2D569D751</vt:lpwstr>
  </property>
</Properties>
</file>