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中国人寿保险（海外）股份有限公司就中国人寿保险（海外）股份有限公司采购网络安全软件系统和硬件设备维护保障服务项目进行公开招标，请合格投标人提交密封的投标文件。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highlight w:val="none"/>
          <w:lang w:eastAsia="zh-CN"/>
        </w:rPr>
      </w:pPr>
      <w:r>
        <w:rPr>
          <w:rFonts w:hint="eastAsia" w:ascii="仿宋" w:hAnsi="仿宋" w:eastAsia="仿宋" w:cstheme="minorEastAsia"/>
          <w:snapToGrid/>
          <w:kern w:val="2"/>
          <w:sz w:val="32"/>
          <w:szCs w:val="32"/>
          <w:highlight w:val="none"/>
          <w:lang w:eastAsia="zh-CN"/>
        </w:rPr>
        <w:t>公告日期：北京时间 202</w:t>
      </w:r>
      <w:r>
        <w:rPr>
          <w:rFonts w:ascii="仿宋" w:hAnsi="仿宋" w:eastAsia="仿宋" w:cstheme="minorEastAsia"/>
          <w:snapToGrid/>
          <w:kern w:val="2"/>
          <w:sz w:val="32"/>
          <w:szCs w:val="32"/>
          <w:highlight w:val="none"/>
          <w:lang w:eastAsia="zh-CN"/>
        </w:rPr>
        <w:t>4</w:t>
      </w:r>
      <w:r>
        <w:rPr>
          <w:rFonts w:hint="eastAsia" w:ascii="仿宋" w:hAnsi="仿宋" w:eastAsia="仿宋" w:cstheme="minorEastAsia"/>
          <w:snapToGrid/>
          <w:kern w:val="2"/>
          <w:sz w:val="32"/>
          <w:szCs w:val="32"/>
          <w:highlight w:val="none"/>
          <w:lang w:eastAsia="zh-CN"/>
        </w:rPr>
        <w:t>年</w:t>
      </w:r>
      <w:r>
        <w:rPr>
          <w:rFonts w:hint="eastAsia" w:ascii="仿宋" w:hAnsi="仿宋" w:eastAsia="仿宋" w:cstheme="minorEastAsia"/>
          <w:snapToGrid/>
          <w:kern w:val="2"/>
          <w:sz w:val="32"/>
          <w:szCs w:val="32"/>
          <w:highlight w:val="none"/>
          <w:lang w:val="en-US" w:eastAsia="zh-CN"/>
        </w:rPr>
        <w:t>9</w:t>
      </w:r>
      <w:r>
        <w:rPr>
          <w:rFonts w:hint="eastAsia" w:ascii="仿宋" w:hAnsi="仿宋" w:eastAsia="仿宋" w:cstheme="minorEastAsia"/>
          <w:snapToGrid/>
          <w:kern w:val="2"/>
          <w:sz w:val="32"/>
          <w:szCs w:val="32"/>
          <w:highlight w:val="none"/>
          <w:lang w:eastAsia="zh-CN"/>
        </w:rPr>
        <w:t>月</w:t>
      </w:r>
      <w:r>
        <w:rPr>
          <w:rFonts w:hint="eastAsia" w:ascii="仿宋" w:hAnsi="仿宋" w:eastAsia="仿宋" w:cstheme="minorEastAsia"/>
          <w:snapToGrid/>
          <w:kern w:val="2"/>
          <w:sz w:val="32"/>
          <w:szCs w:val="32"/>
          <w:highlight w:val="none"/>
          <w:lang w:val="en-US" w:eastAsia="zh-CN"/>
        </w:rPr>
        <w:t>10</w:t>
      </w:r>
      <w:r>
        <w:rPr>
          <w:rFonts w:hint="eastAsia" w:ascii="仿宋" w:hAnsi="仿宋" w:eastAsia="仿宋" w:cstheme="minorEastAsia"/>
          <w:snapToGrid/>
          <w:kern w:val="2"/>
          <w:sz w:val="32"/>
          <w:szCs w:val="32"/>
          <w:highlight w:val="none"/>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网络安全软件系统和硬件设备维护保障服务项目</w:t>
      </w:r>
    </w:p>
    <w:p>
      <w:pPr>
        <w:pStyle w:val="3"/>
        <w:spacing w:before="68" w:line="560" w:lineRule="exact"/>
        <w:ind w:right="6" w:firstLine="320" w:firstLineChars="100"/>
        <w:outlineLvl w:val="0"/>
        <w:rPr>
          <w:rFonts w:ascii="仿宋" w:hAnsi="仿宋" w:eastAsia="仿宋" w:cs="黑体"/>
          <w:snapToGrid/>
          <w:kern w:val="2"/>
          <w:sz w:val="32"/>
          <w:szCs w:val="32"/>
          <w:highlight w:val="none"/>
          <w:lang w:eastAsia="zh-CN"/>
        </w:rPr>
      </w:pPr>
      <w:r>
        <w:rPr>
          <w:rFonts w:hint="eastAsia" w:ascii="黑体" w:hAnsi="黑体" w:eastAsia="黑体" w:cs="黑体"/>
          <w:snapToGrid/>
          <w:kern w:val="2"/>
          <w:sz w:val="32"/>
          <w:szCs w:val="32"/>
          <w:lang w:eastAsia="zh-CN"/>
        </w:rPr>
        <w:t>二、</w:t>
      </w:r>
      <w:r>
        <w:rPr>
          <w:rFonts w:hint="eastAsia" w:ascii="黑体" w:hAnsi="黑体" w:eastAsia="黑体" w:cs="黑体"/>
          <w:snapToGrid/>
          <w:kern w:val="2"/>
          <w:sz w:val="32"/>
          <w:szCs w:val="32"/>
          <w:highlight w:val="none"/>
          <w:lang w:eastAsia="zh-CN"/>
        </w:rPr>
        <w:t>项目编号：</w:t>
      </w:r>
      <w:r>
        <w:rPr>
          <w:rFonts w:hint="eastAsia" w:ascii="仿宋" w:hAnsi="仿宋" w:eastAsia="仿宋"/>
          <w:bCs/>
          <w:sz w:val="32"/>
          <w:szCs w:val="32"/>
          <w:highlight w:val="none"/>
        </w:rPr>
        <w:t>GWGL_QB202405280003</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1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tbl>
      <w:tblPr>
        <w:tblStyle w:val="9"/>
        <w:tblW w:w="5000" w:type="pct"/>
        <w:tblInd w:w="0" w:type="dxa"/>
        <w:tblLayout w:type="autofit"/>
        <w:tblCellMar>
          <w:top w:w="0" w:type="dxa"/>
          <w:left w:w="108" w:type="dxa"/>
          <w:bottom w:w="0" w:type="dxa"/>
          <w:right w:w="108" w:type="dxa"/>
        </w:tblCellMar>
      </w:tblPr>
      <w:tblGrid>
        <w:gridCol w:w="1080"/>
        <w:gridCol w:w="2234"/>
        <w:gridCol w:w="4298"/>
        <w:gridCol w:w="2064"/>
      </w:tblGrid>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序号</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产品名称</w:t>
            </w:r>
          </w:p>
        </w:tc>
        <w:tc>
          <w:tcPr>
            <w:tcW w:w="2220" w:type="pct"/>
            <w:tcBorders>
              <w:top w:val="single" w:color="000000" w:sz="4" w:space="0"/>
              <w:left w:val="single" w:color="000000" w:sz="4" w:space="0"/>
              <w:bottom w:val="single" w:color="000000" w:sz="4" w:space="0"/>
              <w:right w:val="single" w:color="000000" w:sz="4" w:space="0"/>
            </w:tcBorders>
            <w:vAlign w:val="center"/>
          </w:tcPr>
          <w:p>
            <w:pPr>
              <w:pStyle w:val="4"/>
              <w:jc w:val="center"/>
              <w:rPr>
                <w:rFonts w:hint="default" w:ascii="仿宋" w:hAnsi="仿宋" w:eastAsia="仿宋" w:cs="宋体"/>
                <w:sz w:val="28"/>
                <w:szCs w:val="28"/>
              </w:rPr>
            </w:pPr>
            <w:r>
              <w:rPr>
                <w:rFonts w:ascii="仿宋" w:hAnsi="仿宋" w:eastAsia="仿宋" w:cs="宋体"/>
                <w:sz w:val="28"/>
                <w:szCs w:val="28"/>
              </w:rPr>
              <w:t>详细要求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数量</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rPr>
                <w:rFonts w:hint="eastAsia" w:ascii="仿宋" w:hAnsi="仿宋" w:eastAsia="仿宋" w:cs="宋体"/>
                <w:snapToGrid/>
                <w:color w:val="auto"/>
                <w:sz w:val="28"/>
                <w:szCs w:val="28"/>
                <w:lang w:val="en-US" w:eastAsia="zh-CN" w:bidi="ar-SA"/>
              </w:rPr>
            </w:pPr>
            <w:r>
              <w:rPr>
                <w:rFonts w:hint="eastAsia" w:ascii="仿宋" w:hAnsi="仿宋" w:eastAsia="仿宋" w:cs="仿宋"/>
                <w:sz w:val="28"/>
                <w:szCs w:val="28"/>
                <w:lang w:val="en-US" w:eastAsia="zh-CN" w:bidi="ar"/>
              </w:rPr>
              <w:t>4个网络安全软件系统和硬件设备维护保障服务</w:t>
            </w:r>
          </w:p>
        </w:tc>
        <w:tc>
          <w:tcPr>
            <w:tcW w:w="4298"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both"/>
              <w:rPr>
                <w:rFonts w:hint="default" w:ascii="仿宋" w:hAnsi="仿宋" w:eastAsia="仿宋" w:cs="宋体"/>
                <w:snapToGrid/>
                <w:color w:val="auto"/>
                <w:sz w:val="28"/>
                <w:szCs w:val="28"/>
                <w:lang w:val="en-US" w:eastAsia="zh-CN" w:bidi="ar-SA"/>
              </w:rPr>
            </w:pPr>
            <w:r>
              <w:rPr>
                <w:rFonts w:hint="eastAsia" w:ascii="仿宋" w:hAnsi="仿宋" w:eastAsia="仿宋" w:cs="仿宋"/>
                <w:sz w:val="28"/>
                <w:szCs w:val="28"/>
                <w:lang w:val="en-US" w:eastAsia="zh-CN" w:bidi="ar"/>
              </w:rPr>
              <w:t>根据实际的业务需求，在对应的期限内，提供网络安全软件系统和硬件设备的有效授权许可、问题排查和定位解决、升级加固和优化建议等维护保障服务。</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1套</w:t>
            </w:r>
          </w:p>
        </w:tc>
      </w:tr>
    </w:tbl>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7" w:firstLine="640"/>
        <w:outlineLvl w:val="1"/>
        <w:rPr>
          <w:rFonts w:ascii="仿宋" w:hAnsi="仿宋" w:eastAsia="仿宋" w:cs="仿宋"/>
          <w:snapToGrid/>
          <w:color w:val="auto"/>
          <w:kern w:val="2"/>
          <w:sz w:val="32"/>
          <w:szCs w:val="32"/>
          <w:highlight w:val="none"/>
          <w:lang w:eastAsia="zh-CN"/>
        </w:rPr>
      </w:pPr>
      <w:r>
        <w:rPr>
          <w:rFonts w:ascii="仿宋" w:hAnsi="仿宋" w:eastAsia="仿宋" w:cs="仿宋"/>
          <w:snapToGrid/>
          <w:color w:val="auto"/>
          <w:kern w:val="2"/>
          <w:sz w:val="32"/>
          <w:szCs w:val="32"/>
          <w:highlight w:val="none"/>
          <w:lang w:eastAsia="zh-CN"/>
        </w:rPr>
        <w:t xml:space="preserve">4. </w:t>
      </w:r>
      <w:r>
        <w:rPr>
          <w:rFonts w:hint="eastAsia" w:ascii="仿宋" w:hAnsi="仿宋" w:eastAsia="仿宋" w:cs="仿宋"/>
          <w:snapToGrid/>
          <w:color w:val="auto"/>
          <w:kern w:val="2"/>
          <w:sz w:val="32"/>
          <w:szCs w:val="32"/>
          <w:highlight w:val="none"/>
          <w:lang w:eastAsia="zh-CN"/>
        </w:rPr>
        <w:t>最高</w:t>
      </w:r>
      <w:r>
        <w:rPr>
          <w:rFonts w:hint="eastAsia" w:ascii="仿宋" w:hAnsi="仿宋" w:eastAsia="仿宋" w:cs="仿宋"/>
          <w:snapToGrid/>
          <w:color w:val="auto"/>
          <w:kern w:val="2"/>
          <w:sz w:val="32"/>
          <w:szCs w:val="32"/>
          <w:highlight w:val="none"/>
          <w:lang w:val="en-US" w:eastAsia="zh-CN"/>
        </w:rPr>
        <w:t>限</w:t>
      </w:r>
      <w:r>
        <w:rPr>
          <w:rFonts w:hint="eastAsia" w:ascii="仿宋" w:hAnsi="仿宋" w:eastAsia="仿宋" w:cs="仿宋"/>
          <w:snapToGrid/>
          <w:color w:val="auto"/>
          <w:kern w:val="2"/>
          <w:sz w:val="32"/>
          <w:szCs w:val="32"/>
          <w:highlight w:val="none"/>
          <w:lang w:eastAsia="zh-CN"/>
        </w:rPr>
        <w:t>价：100万人民币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参与本项目前三年内，无行贿犯罪记录，在经营活动中没有重大违法记录，不存在处于被相关主管部门处以禁止参与政府采购活动期限内的情形</w:t>
      </w:r>
      <w:r>
        <w:rPr>
          <w:rFonts w:hint="eastAsia" w:ascii="仿宋" w:hAnsi="仿宋" w:eastAsia="仿宋" w:cs="仿宋"/>
          <w:snapToGrid/>
          <w:kern w:val="2"/>
          <w:sz w:val="32"/>
          <w:szCs w:val="32"/>
          <w:lang w:eastAsia="zh-CN"/>
        </w:rPr>
        <w:t>；</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应为提供服务原厂商（提供服务原厂商因注册经营范围或内部管理体制的限制不能独立投标的，可指定符合投标人资质要求的代理商作为投标人，且代理商应获取提供服务原厂商的授权函，在此情况下，投标代理商只能选取唯一一家原厂品牌进行投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投标人须提供两个以上（含两个）信息安全行业标准的证书，同一种证书不同等级只算一个，包括但不限于ISO27001、CCRC、等保。</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highlight w:val="none"/>
          <w:lang w:eastAsia="zh-CN"/>
        </w:rPr>
        <w:t>北京时间202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11</w:t>
      </w:r>
      <w:r>
        <w:rPr>
          <w:rFonts w:hint="eastAsia" w:ascii="仿宋" w:hAnsi="仿宋" w:eastAsia="仿宋" w:cs="仿宋"/>
          <w:snapToGrid/>
          <w:kern w:val="2"/>
          <w:sz w:val="32"/>
          <w:szCs w:val="32"/>
          <w:highlight w:val="none"/>
          <w:lang w:eastAsia="zh-CN"/>
        </w:rPr>
        <w:t>日9:00至202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18</w:t>
      </w:r>
      <w:r>
        <w:rPr>
          <w:rFonts w:hint="eastAsia" w:ascii="仿宋" w:hAnsi="仿宋" w:eastAsia="仿宋" w:cs="仿宋"/>
          <w:snapToGrid/>
          <w:kern w:val="2"/>
          <w:sz w:val="32"/>
          <w:szCs w:val="32"/>
          <w:highlight w:val="none"/>
          <w:lang w:eastAsia="zh-CN"/>
        </w:rPr>
        <w:t>日18:00</w:t>
      </w:r>
      <w:r>
        <w:rPr>
          <w:rFonts w:hint="eastAsia" w:ascii="仿宋" w:hAnsi="仿宋" w:eastAsia="仿宋" w:cs="仿宋"/>
          <w:snapToGrid/>
          <w:kern w:val="2"/>
          <w:sz w:val="32"/>
          <w:szCs w:val="32"/>
          <w:lang w:eastAsia="zh-CN"/>
        </w:rPr>
        <w:t>)</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六、 </w:t>
      </w:r>
      <w:r>
        <w:rPr>
          <w:rFonts w:hint="eastAsia" w:ascii="黑体" w:hAnsi="黑体" w:eastAsia="黑体" w:cs="黑体"/>
          <w:snapToGrid/>
          <w:kern w:val="2"/>
          <w:sz w:val="32"/>
          <w:szCs w:val="32"/>
          <w:highlight w:val="none"/>
          <w:lang w:eastAsia="zh-CN"/>
        </w:rPr>
        <w:t>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提问截止时间为北京时间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20</w:t>
      </w:r>
      <w:r>
        <w:rPr>
          <w:rFonts w:hint="eastAsia" w:ascii="仿宋" w:hAnsi="仿宋" w:eastAsia="仿宋" w:cs="仿宋"/>
          <w:snapToGrid/>
          <w:kern w:val="2"/>
          <w:sz w:val="32"/>
          <w:szCs w:val="32"/>
          <w:highlight w:val="none"/>
          <w:lang w:eastAsia="zh-CN"/>
        </w:rPr>
        <w:t>日</w:t>
      </w:r>
      <w:bookmarkStart w:id="2" w:name="OLE_LINK3"/>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w:t>
      </w:r>
      <w:bookmarkEnd w:id="2"/>
      <w:r>
        <w:rPr>
          <w:rFonts w:hint="eastAsia" w:ascii="仿宋" w:hAnsi="仿宋" w:eastAsia="仿宋" w:cs="仿宋"/>
          <w:snapToGrid/>
          <w:kern w:val="2"/>
          <w:sz w:val="32"/>
          <w:szCs w:val="32"/>
          <w:highlight w:val="none"/>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答复截止时间为北京时间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23</w:t>
      </w:r>
      <w:r>
        <w:rPr>
          <w:rFonts w:hint="eastAsia" w:ascii="仿宋" w:hAnsi="仿宋" w:eastAsia="仿宋" w:cs="仿宋"/>
          <w:snapToGrid/>
          <w:kern w:val="2"/>
          <w:sz w:val="32"/>
          <w:szCs w:val="32"/>
          <w:highlight w:val="none"/>
          <w:lang w:eastAsia="zh-CN"/>
        </w:rPr>
        <w:t>日</w:t>
      </w:r>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:00，通过邮件统一回复。</w:t>
      </w:r>
      <w:bookmarkStart w:id="3" w:name="_GoBack"/>
      <w:bookmarkEnd w:id="3"/>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投标截至时间：北京时间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 xml:space="preserve">29 </w:t>
      </w:r>
      <w:r>
        <w:rPr>
          <w:rFonts w:hint="eastAsia" w:ascii="仿宋" w:hAnsi="仿宋" w:eastAsia="仿宋" w:cs="仿宋"/>
          <w:snapToGrid/>
          <w:kern w:val="2"/>
          <w:sz w:val="32"/>
          <w:szCs w:val="32"/>
          <w:highlight w:val="none"/>
          <w:lang w:eastAsia="zh-CN"/>
        </w:rPr>
        <w:t>日</w:t>
      </w:r>
      <w:r>
        <w:rPr>
          <w:rFonts w:ascii="仿宋" w:hAnsi="仿宋" w:eastAsia="仿宋" w:cs="仿宋"/>
          <w:snapToGrid/>
          <w:kern w:val="2"/>
          <w:sz w:val="32"/>
          <w:szCs w:val="32"/>
          <w:highlight w:val="none"/>
          <w:lang w:eastAsia="zh-CN"/>
        </w:rPr>
        <w:t>1</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30</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 xml:space="preserve">开 标 时 间: </w:t>
      </w:r>
      <w:r>
        <w:rPr>
          <w:rFonts w:ascii="仿宋" w:hAnsi="仿宋" w:eastAsia="仿宋" w:cs="仿宋"/>
          <w:snapToGrid/>
          <w:kern w:val="2"/>
          <w:sz w:val="32"/>
          <w:szCs w:val="32"/>
          <w:highlight w:val="none"/>
          <w:lang w:eastAsia="zh-CN"/>
        </w:rPr>
        <w:t xml:space="preserve"> </w:t>
      </w:r>
      <w:r>
        <w:rPr>
          <w:rFonts w:hint="eastAsia" w:ascii="仿宋" w:hAnsi="仿宋" w:eastAsia="仿宋" w:cs="仿宋"/>
          <w:snapToGrid/>
          <w:kern w:val="2"/>
          <w:sz w:val="32"/>
          <w:szCs w:val="32"/>
          <w:highlight w:val="none"/>
          <w:lang w:eastAsia="zh-CN"/>
        </w:rPr>
        <w:t>北京时间 202</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 xml:space="preserve">29 </w:t>
      </w:r>
      <w:r>
        <w:rPr>
          <w:rFonts w:hint="eastAsia" w:ascii="仿宋" w:hAnsi="仿宋" w:eastAsia="仿宋" w:cs="仿宋"/>
          <w:snapToGrid/>
          <w:kern w:val="2"/>
          <w:sz w:val="32"/>
          <w:szCs w:val="32"/>
          <w:highlight w:val="none"/>
          <w:lang w:eastAsia="zh-CN"/>
        </w:rPr>
        <w:t>日</w:t>
      </w:r>
      <w:r>
        <w:rPr>
          <w:rFonts w:ascii="仿宋" w:hAnsi="仿宋" w:eastAsia="仿宋" w:cs="仿宋"/>
          <w:snapToGrid/>
          <w:kern w:val="2"/>
          <w:sz w:val="32"/>
          <w:szCs w:val="32"/>
          <w:highlight w:val="none"/>
          <w:lang w:eastAsia="zh-CN"/>
        </w:rPr>
        <w:t>1</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3</w:t>
      </w:r>
      <w:r>
        <w:rPr>
          <w:rFonts w:hint="eastAsia" w:ascii="仿宋" w:hAnsi="仿宋" w:eastAsia="仿宋" w:cs="仿宋"/>
          <w:snapToGrid/>
          <w:kern w:val="2"/>
          <w:sz w:val="32"/>
          <w:szCs w:val="32"/>
          <w:highlight w:val="none"/>
          <w:lang w:eastAsia="zh-CN"/>
        </w:rPr>
        <w:t>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联 系 人： 易思河</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-36838302</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邮    箱： yisihe</w:t>
      </w:r>
      <w:r>
        <w:rPr>
          <w:rFonts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地    址： 广东省深圳市福田区福田路24号海岸环庆大厦</w:t>
      </w:r>
      <w:r>
        <w:rPr>
          <w:rFonts w:hint="eastAsia" w:ascii="仿宋" w:hAnsi="仿宋" w:eastAsia="仿宋" w:cs="仿宋"/>
          <w:snapToGrid/>
          <w:kern w:val="2"/>
          <w:sz w:val="32"/>
          <w:szCs w:val="32"/>
          <w:lang w:val="en-US" w:eastAsia="zh-CN"/>
        </w:rPr>
        <w:t>35楼</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lZGQyOTc4OGU3YWEzNGYzZmEwZDg0MTc0YWI3N2UifQ=="/>
  </w:docVars>
  <w:rsids>
    <w:rsidRoot w:val="009B790D"/>
    <w:rsid w:val="00044B1C"/>
    <w:rsid w:val="000461CA"/>
    <w:rsid w:val="000721DE"/>
    <w:rsid w:val="00076567"/>
    <w:rsid w:val="000C3238"/>
    <w:rsid w:val="001277E0"/>
    <w:rsid w:val="001840BA"/>
    <w:rsid w:val="001842B9"/>
    <w:rsid w:val="001D4851"/>
    <w:rsid w:val="00210D52"/>
    <w:rsid w:val="00255845"/>
    <w:rsid w:val="00272AC2"/>
    <w:rsid w:val="002A6947"/>
    <w:rsid w:val="002D4440"/>
    <w:rsid w:val="002F4A61"/>
    <w:rsid w:val="00333D7B"/>
    <w:rsid w:val="003779CE"/>
    <w:rsid w:val="004311F8"/>
    <w:rsid w:val="004A1A5C"/>
    <w:rsid w:val="004B0144"/>
    <w:rsid w:val="004C3C08"/>
    <w:rsid w:val="0052711F"/>
    <w:rsid w:val="0055246C"/>
    <w:rsid w:val="005C6C63"/>
    <w:rsid w:val="005F7643"/>
    <w:rsid w:val="00676AB5"/>
    <w:rsid w:val="006B75E1"/>
    <w:rsid w:val="00702DDC"/>
    <w:rsid w:val="0076019D"/>
    <w:rsid w:val="00786E21"/>
    <w:rsid w:val="007A4BFC"/>
    <w:rsid w:val="00800258"/>
    <w:rsid w:val="008321AD"/>
    <w:rsid w:val="008340C6"/>
    <w:rsid w:val="00881FCA"/>
    <w:rsid w:val="008C5F7A"/>
    <w:rsid w:val="008C7034"/>
    <w:rsid w:val="00925319"/>
    <w:rsid w:val="009B790D"/>
    <w:rsid w:val="009E2B12"/>
    <w:rsid w:val="00A408D6"/>
    <w:rsid w:val="00A61E98"/>
    <w:rsid w:val="00AD4B33"/>
    <w:rsid w:val="00AF4B78"/>
    <w:rsid w:val="00B27E46"/>
    <w:rsid w:val="00B44A49"/>
    <w:rsid w:val="00BE6E26"/>
    <w:rsid w:val="00C4787F"/>
    <w:rsid w:val="00C904D5"/>
    <w:rsid w:val="00CC576D"/>
    <w:rsid w:val="00D02256"/>
    <w:rsid w:val="00D11780"/>
    <w:rsid w:val="00D36431"/>
    <w:rsid w:val="00D84B91"/>
    <w:rsid w:val="00DA3D81"/>
    <w:rsid w:val="00DC0F06"/>
    <w:rsid w:val="00DC20DA"/>
    <w:rsid w:val="00E03D35"/>
    <w:rsid w:val="00E52F76"/>
    <w:rsid w:val="00E578B5"/>
    <w:rsid w:val="00E9317C"/>
    <w:rsid w:val="00F525B8"/>
    <w:rsid w:val="00F57792"/>
    <w:rsid w:val="00FA2208"/>
    <w:rsid w:val="00FD3527"/>
    <w:rsid w:val="023A109F"/>
    <w:rsid w:val="039D3DD9"/>
    <w:rsid w:val="04510321"/>
    <w:rsid w:val="048605CC"/>
    <w:rsid w:val="04DD3F64"/>
    <w:rsid w:val="0712113E"/>
    <w:rsid w:val="093A1985"/>
    <w:rsid w:val="099E1F14"/>
    <w:rsid w:val="0A6767AA"/>
    <w:rsid w:val="0DD84858"/>
    <w:rsid w:val="0E935446"/>
    <w:rsid w:val="1010343F"/>
    <w:rsid w:val="11FB47C4"/>
    <w:rsid w:val="13496B96"/>
    <w:rsid w:val="18BA0AB1"/>
    <w:rsid w:val="18D55226"/>
    <w:rsid w:val="1A432B4D"/>
    <w:rsid w:val="1B6F742D"/>
    <w:rsid w:val="1C8651B5"/>
    <w:rsid w:val="1D8A0960"/>
    <w:rsid w:val="1FE568BB"/>
    <w:rsid w:val="20410ECE"/>
    <w:rsid w:val="25387269"/>
    <w:rsid w:val="266A16A4"/>
    <w:rsid w:val="268921DF"/>
    <w:rsid w:val="27075DFC"/>
    <w:rsid w:val="27D976E5"/>
    <w:rsid w:val="2C7C195C"/>
    <w:rsid w:val="30580017"/>
    <w:rsid w:val="305F1EED"/>
    <w:rsid w:val="30CC660C"/>
    <w:rsid w:val="31BB0737"/>
    <w:rsid w:val="32456B21"/>
    <w:rsid w:val="34912307"/>
    <w:rsid w:val="34F328A6"/>
    <w:rsid w:val="38C25C14"/>
    <w:rsid w:val="3AB6680E"/>
    <w:rsid w:val="3AF464B5"/>
    <w:rsid w:val="3B911029"/>
    <w:rsid w:val="3C7E0814"/>
    <w:rsid w:val="3CC852FA"/>
    <w:rsid w:val="3DB23BD7"/>
    <w:rsid w:val="3FEA7038"/>
    <w:rsid w:val="44103433"/>
    <w:rsid w:val="47DE73A4"/>
    <w:rsid w:val="48B545A9"/>
    <w:rsid w:val="4C1D655E"/>
    <w:rsid w:val="4CCA439B"/>
    <w:rsid w:val="4CD43E75"/>
    <w:rsid w:val="4E8D7AD8"/>
    <w:rsid w:val="4F1B7938"/>
    <w:rsid w:val="50FB2D75"/>
    <w:rsid w:val="526C7ABA"/>
    <w:rsid w:val="52D47D21"/>
    <w:rsid w:val="54B86419"/>
    <w:rsid w:val="570C72AA"/>
    <w:rsid w:val="59FF0180"/>
    <w:rsid w:val="5D2824F2"/>
    <w:rsid w:val="5EE92175"/>
    <w:rsid w:val="601E25DC"/>
    <w:rsid w:val="64AB6B78"/>
    <w:rsid w:val="65043688"/>
    <w:rsid w:val="69670A7C"/>
    <w:rsid w:val="6B685053"/>
    <w:rsid w:val="6CC4450B"/>
    <w:rsid w:val="6D5A3D43"/>
    <w:rsid w:val="70090BB2"/>
    <w:rsid w:val="73AE5C8F"/>
    <w:rsid w:val="752C72A3"/>
    <w:rsid w:val="75933079"/>
    <w:rsid w:val="771F0CBB"/>
    <w:rsid w:val="77C40DCA"/>
    <w:rsid w:val="7E535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20"/>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9"/>
    <w:qFormat/>
    <w:uiPriority w:val="0"/>
    <w:rPr>
      <w:sz w:val="18"/>
      <w:szCs w:val="18"/>
    </w:rPr>
  </w:style>
  <w:style w:type="paragraph" w:styleId="6">
    <w:name w:val="footer"/>
    <w:basedOn w:val="1"/>
    <w:link w:val="16"/>
    <w:qFormat/>
    <w:uiPriority w:val="0"/>
    <w:pPr>
      <w:tabs>
        <w:tab w:val="center" w:pos="4153"/>
        <w:tab w:val="right" w:pos="8306"/>
      </w:tabs>
    </w:pPr>
    <w:rPr>
      <w:sz w:val="18"/>
      <w:szCs w:val="18"/>
    </w:rPr>
  </w:style>
  <w:style w:type="paragraph" w:styleId="7">
    <w:name w:val="header"/>
    <w:basedOn w:val="1"/>
    <w:link w:val="15"/>
    <w:qFormat/>
    <w:uiPriority w:val="0"/>
    <w:pPr>
      <w:tabs>
        <w:tab w:val="center" w:pos="4153"/>
        <w:tab w:val="right" w:pos="8306"/>
      </w:tabs>
      <w:jc w:val="center"/>
    </w:pPr>
    <w:rPr>
      <w:sz w:val="18"/>
      <w:szCs w:val="18"/>
    </w:rPr>
  </w:style>
  <w:style w:type="paragraph" w:styleId="8">
    <w:name w:val="annotation subject"/>
    <w:basedOn w:val="2"/>
    <w:next w:val="2"/>
    <w:link w:val="18"/>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页眉 字符"/>
    <w:basedOn w:val="11"/>
    <w:link w:val="7"/>
    <w:qFormat/>
    <w:uiPriority w:val="0"/>
    <w:rPr>
      <w:rFonts w:ascii="Arial" w:hAnsi="Arial" w:eastAsia="Arial" w:cs="Arial"/>
      <w:snapToGrid w:val="0"/>
      <w:color w:val="000000"/>
      <w:sz w:val="18"/>
      <w:szCs w:val="18"/>
      <w:lang w:eastAsia="en-US"/>
    </w:rPr>
  </w:style>
  <w:style w:type="character" w:customStyle="1" w:styleId="16">
    <w:name w:val="页脚 字符"/>
    <w:basedOn w:val="11"/>
    <w:link w:val="6"/>
    <w:qFormat/>
    <w:uiPriority w:val="0"/>
    <w:rPr>
      <w:rFonts w:ascii="Arial" w:hAnsi="Arial" w:eastAsia="Arial" w:cs="Arial"/>
      <w:snapToGrid w:val="0"/>
      <w:color w:val="000000"/>
      <w:sz w:val="18"/>
      <w:szCs w:val="18"/>
      <w:lang w:eastAsia="en-US"/>
    </w:rPr>
  </w:style>
  <w:style w:type="character" w:customStyle="1" w:styleId="17">
    <w:name w:val="批注文字 字符"/>
    <w:basedOn w:val="11"/>
    <w:link w:val="2"/>
    <w:qFormat/>
    <w:uiPriority w:val="0"/>
    <w:rPr>
      <w:rFonts w:ascii="Arial" w:hAnsi="Arial" w:eastAsia="Arial" w:cs="Arial"/>
      <w:snapToGrid w:val="0"/>
      <w:color w:val="000000"/>
      <w:sz w:val="21"/>
      <w:szCs w:val="21"/>
      <w:lang w:eastAsia="en-US"/>
    </w:rPr>
  </w:style>
  <w:style w:type="character" w:customStyle="1" w:styleId="18">
    <w:name w:val="批注主题 字符"/>
    <w:basedOn w:val="17"/>
    <w:link w:val="8"/>
    <w:qFormat/>
    <w:uiPriority w:val="0"/>
    <w:rPr>
      <w:rFonts w:ascii="Arial" w:hAnsi="Arial" w:eastAsia="Arial" w:cs="Arial"/>
      <w:b/>
      <w:bCs/>
      <w:snapToGrid w:val="0"/>
      <w:color w:val="000000"/>
      <w:sz w:val="21"/>
      <w:szCs w:val="21"/>
      <w:lang w:eastAsia="en-US"/>
    </w:rPr>
  </w:style>
  <w:style w:type="character" w:customStyle="1" w:styleId="19">
    <w:name w:val="批注框文本 字符"/>
    <w:basedOn w:val="11"/>
    <w:link w:val="5"/>
    <w:qFormat/>
    <w:uiPriority w:val="0"/>
    <w:rPr>
      <w:rFonts w:ascii="Arial" w:hAnsi="Arial" w:eastAsia="Arial" w:cs="Arial"/>
      <w:snapToGrid w:val="0"/>
      <w:color w:val="000000"/>
      <w:sz w:val="18"/>
      <w:szCs w:val="18"/>
      <w:lang w:eastAsia="en-US"/>
    </w:rPr>
  </w:style>
  <w:style w:type="character" w:customStyle="1" w:styleId="20">
    <w:name w:val="纯文本 字符"/>
    <w:basedOn w:val="11"/>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4C547-3028-4A36-8ADE-10A0690F9EFF}">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1177</Words>
  <Characters>1319</Characters>
  <Lines>10</Lines>
  <Paragraphs>2</Paragraphs>
  <TotalTime>10</TotalTime>
  <ScaleCrop>false</ScaleCrop>
  <LinksUpToDate>false</LinksUpToDate>
  <CharactersWithSpaces>1374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yisihe</cp:lastModifiedBy>
  <dcterms:modified xsi:type="dcterms:W3CDTF">2024-09-09T06:22:43Z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