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E11E7" w14:textId="77777777" w:rsidR="00B678FD" w:rsidRDefault="00957276" w:rsidP="004945AC">
      <w:pPr>
        <w:pStyle w:val="Web"/>
        <w:widowControl/>
        <w:spacing w:beforeAutospacing="0" w:afterAutospacing="0"/>
        <w:jc w:val="center"/>
        <w:rPr>
          <w:rFonts w:ascii="方正小标宋简体" w:eastAsia="新細明體" w:hAnsi="方正少儿简体" w:cs="SimSun"/>
          <w:bCs/>
          <w:sz w:val="44"/>
          <w:szCs w:val="44"/>
          <w:lang w:eastAsia="zh-TW"/>
        </w:rPr>
      </w:pPr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中國人壽保險（海外）股份有限公司</w:t>
      </w:r>
    </w:p>
    <w:p w14:paraId="43FBA643" w14:textId="414E88ED" w:rsidR="00F23D2B" w:rsidRPr="00293A9F" w:rsidRDefault="00957276" w:rsidP="004945AC">
      <w:pPr>
        <w:pStyle w:val="Web"/>
        <w:widowControl/>
        <w:spacing w:beforeAutospacing="0" w:afterAutospacing="0"/>
        <w:jc w:val="center"/>
        <w:rPr>
          <w:rFonts w:ascii="方正小标宋简体" w:eastAsia="方正小标宋简体" w:hAnsi="方正少儿简体"/>
          <w:sz w:val="44"/>
          <w:szCs w:val="44"/>
          <w:lang w:eastAsia="zh-TW"/>
        </w:rPr>
      </w:pPr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綫上和綫下信用卡繳費服務集中採購</w:t>
      </w:r>
      <w:r w:rsidR="00E759D2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項目</w:t>
      </w:r>
      <w:bookmarkStart w:id="0" w:name="_GoBack"/>
      <w:bookmarkEnd w:id="0"/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澄清公告</w:t>
      </w:r>
    </w:p>
    <w:p w14:paraId="66C1F37E" w14:textId="77777777" w:rsidR="00B678FD" w:rsidRDefault="00B678FD" w:rsidP="00AC120F">
      <w:pPr>
        <w:pStyle w:val="Web"/>
        <w:widowControl/>
        <w:spacing w:beforeAutospacing="0" w:afterAutospacing="0"/>
        <w:rPr>
          <w:rFonts w:ascii="FangSong_GB2312" w:eastAsia="新細明體" w:hAnsi="SimSun" w:cs="SimSun"/>
          <w:sz w:val="32"/>
          <w:szCs w:val="32"/>
          <w:lang w:eastAsia="zh-TW"/>
        </w:rPr>
      </w:pPr>
    </w:p>
    <w:p w14:paraId="31FDA51F" w14:textId="658FC6D4" w:rsidR="00B83DAB" w:rsidRPr="00293A9F" w:rsidRDefault="00957276" w:rsidP="00AC120F">
      <w:pPr>
        <w:pStyle w:val="Web"/>
        <w:widowControl/>
        <w:spacing w:beforeAutospacing="0" w:afterAutospacing="0"/>
        <w:rPr>
          <w:rFonts w:ascii="FangSong_GB2312" w:eastAsia="FangSong_GB2312" w:hAnsi="SimSun" w:cs="SimSun"/>
          <w:sz w:val="32"/>
          <w:szCs w:val="32"/>
          <w:lang w:eastAsia="zh-TW"/>
        </w:rPr>
      </w:pPr>
      <w:r w:rsidRPr="00957276">
        <w:rPr>
          <w:rFonts w:ascii="FangSong_GB2312" w:eastAsia="新細明體" w:hAnsi="SimSun" w:cs="SimSun" w:hint="eastAsia"/>
          <w:sz w:val="32"/>
          <w:szCs w:val="32"/>
          <w:lang w:eastAsia="zh-TW"/>
        </w:rPr>
        <w:t>各投標人：</w:t>
      </w:r>
    </w:p>
    <w:p w14:paraId="1D86F359" w14:textId="3D1C1827" w:rsidR="00F23D2B" w:rsidRPr="00293A9F" w:rsidRDefault="00B678FD" w:rsidP="00B678FD">
      <w:pPr>
        <w:pStyle w:val="Web"/>
        <w:widowControl/>
        <w:ind w:firstLineChars="200" w:firstLine="640"/>
        <w:rPr>
          <w:rFonts w:ascii="FangSong_GB2312" w:eastAsia="FangSong_GB2312" w:hAnsi="SimSun" w:cs="SimSun"/>
          <w:sz w:val="32"/>
          <w:szCs w:val="32"/>
          <w:lang w:eastAsia="zh-TW"/>
        </w:rPr>
      </w:pPr>
      <w:r w:rsidRPr="00B678FD">
        <w:rPr>
          <w:rFonts w:ascii="FangSong_GB2312" w:eastAsia="新細明體" w:hAnsi="SimSun" w:cs="SimSun" w:hint="eastAsia"/>
          <w:sz w:val="32"/>
          <w:szCs w:val="32"/>
          <w:lang w:eastAsia="zh-TW"/>
        </w:rPr>
        <w:t>中國人壽保險（海外）股份有限公司綫上和綫下信用卡繳費服務集中採購</w:t>
      </w:r>
      <w:r>
        <w:rPr>
          <w:rFonts w:ascii="FangSong_GB2312" w:eastAsia="新細明體" w:hAnsi="SimSun" w:cs="SimSun" w:hint="eastAsia"/>
          <w:sz w:val="32"/>
          <w:szCs w:val="32"/>
          <w:lang w:eastAsia="zh-TW"/>
        </w:rPr>
        <w:t>項目</w:t>
      </w:r>
      <w:r w:rsidR="00957276" w:rsidRPr="00957276">
        <w:rPr>
          <w:rFonts w:ascii="FangSong_GB2312" w:eastAsia="新細明體" w:hAnsi="SimSun" w:cs="SimSun" w:hint="eastAsia"/>
          <w:sz w:val="32"/>
          <w:szCs w:val="32"/>
          <w:lang w:eastAsia="zh-TW"/>
        </w:rPr>
        <w:t>（</w:t>
      </w:r>
      <w:r w:rsidRPr="00B678FD">
        <w:rPr>
          <w:rFonts w:ascii="FangSong_GB2312" w:eastAsia="新細明體" w:hAnsi="SimSun" w:cs="SimSun" w:hint="eastAsia"/>
          <w:sz w:val="32"/>
          <w:szCs w:val="32"/>
          <w:lang w:eastAsia="zh-TW"/>
        </w:rPr>
        <w:t>項目編號：</w:t>
      </w:r>
      <w:r w:rsidRPr="00B678FD">
        <w:rPr>
          <w:rFonts w:ascii="FangSong_GB2312" w:eastAsia="新細明體" w:hAnsi="SimSun" w:cs="SimSun" w:hint="eastAsia"/>
          <w:sz w:val="32"/>
          <w:szCs w:val="32"/>
          <w:lang w:eastAsia="zh-TW"/>
        </w:rPr>
        <w:t>HK_QB2_202508271249</w:t>
      </w:r>
      <w:r w:rsidR="00957276" w:rsidRPr="00957276">
        <w:rPr>
          <w:rFonts w:ascii="FangSong_GB2312" w:eastAsia="新細明體" w:hAnsi="SimSun" w:cs="SimSun" w:hint="eastAsia"/>
          <w:sz w:val="32"/>
          <w:szCs w:val="32"/>
          <w:lang w:eastAsia="zh-TW"/>
        </w:rPr>
        <w:t>），經招標人確認，現就相關事項澄清如下：</w:t>
      </w:r>
    </w:p>
    <w:p w14:paraId="0C3B23FD" w14:textId="390BC729" w:rsidR="00C3592A" w:rsidRPr="00C3592A" w:rsidRDefault="00957276" w:rsidP="00AC120F">
      <w:pPr>
        <w:numPr>
          <w:ilvl w:val="0"/>
          <w:numId w:val="1"/>
        </w:numPr>
        <w:spacing w:afterLines="50" w:after="156"/>
        <w:ind w:firstLineChars="200" w:firstLine="641"/>
        <w:jc w:val="left"/>
        <w:rPr>
          <w:rFonts w:ascii="仿宋" w:eastAsia="仿宋" w:hAnsi="仿宋" w:cs="仿宋"/>
          <w:sz w:val="32"/>
          <w:szCs w:val="32"/>
        </w:rPr>
      </w:pPr>
      <w:r w:rsidRPr="00957276">
        <w:rPr>
          <w:rFonts w:ascii="仿宋" w:eastAsia="新細明體" w:hAnsi="仿宋" w:cs="仿宋" w:hint="eastAsia"/>
          <w:b/>
          <w:bCs/>
          <w:sz w:val="32"/>
          <w:szCs w:val="32"/>
          <w:lang w:eastAsia="zh-TW"/>
        </w:rPr>
        <w:t>澄清部分</w:t>
      </w:r>
    </w:p>
    <w:p w14:paraId="6BCC0663" w14:textId="1B4E04ED" w:rsidR="00955584" w:rsidRDefault="00957276" w:rsidP="007A144B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</w:pPr>
      <w:r w:rsidRPr="00957276"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  <w:t>1</w:t>
      </w:r>
      <w:r w:rsidRPr="0095727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、招標文件</w:t>
      </w:r>
    </w:p>
    <w:p w14:paraId="61DFC7CD" w14:textId="396D945C" w:rsidR="00955584" w:rsidRDefault="00B41A06" w:rsidP="007A144B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sz w:val="32"/>
          <w:szCs w:val="32"/>
          <w:lang w:eastAsia="zh-TW"/>
        </w:rPr>
      </w:pPr>
      <w:r w:rsidRPr="00B41A0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一、</w:t>
      </w:r>
      <w:r w:rsidRPr="00B41A0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 xml:space="preserve"> </w:t>
      </w:r>
      <w:r w:rsidRPr="00B41A0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招標公告</w:t>
      </w:r>
      <w:r w:rsid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/</w:t>
      </w:r>
      <w:r w:rsidRPr="00B41A0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七、投標截止時間、投標地點、開標時間、開標地點：</w:t>
      </w:r>
    </w:p>
    <w:p w14:paraId="6EEE3BDC" w14:textId="369AAD82" w:rsidR="007A144B" w:rsidRPr="007A144B" w:rsidRDefault="00B41A06" w:rsidP="007A144B">
      <w:pPr>
        <w:spacing w:afterLines="50" w:after="156"/>
        <w:ind w:firstLineChars="200" w:firstLine="640"/>
        <w:jc w:val="left"/>
        <w:rPr>
          <w:rFonts w:ascii="仿宋" w:eastAsia="仿宋" w:hAnsi="仿宋" w:cs="Times New Roman"/>
          <w:b/>
          <w:bCs/>
          <w:sz w:val="32"/>
          <w:szCs w:val="32"/>
          <w:lang w:eastAsia="zh-TW"/>
        </w:rPr>
      </w:pPr>
      <w:r w:rsidRPr="00B41A06">
        <w:rPr>
          <w:rFonts w:ascii="仿宋" w:eastAsia="仿宋" w:hAnsi="仿宋" w:cs="Times New Roman"/>
          <w:b/>
          <w:bCs/>
          <w:noProof/>
          <w:sz w:val="32"/>
          <w:szCs w:val="32"/>
          <w:lang w:eastAsia="zh-TW"/>
        </w:rPr>
        <w:drawing>
          <wp:inline distT="0" distB="0" distL="0" distR="0" wp14:anchorId="66FF25F9" wp14:editId="6560A1D0">
            <wp:extent cx="5201376" cy="201958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1376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B68EC" w14:textId="7B987C50" w:rsidR="007A144B" w:rsidRDefault="00957276" w:rsidP="007A144B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</w:pPr>
      <w:r w:rsidRPr="0095727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澄清爲：</w:t>
      </w:r>
    </w:p>
    <w:p w14:paraId="5323DC22" w14:textId="110BE65C" w:rsidR="00955584" w:rsidRPr="007A144B" w:rsidRDefault="00B41A06" w:rsidP="007A144B">
      <w:pPr>
        <w:spacing w:afterLines="50" w:after="156"/>
        <w:ind w:firstLineChars="200" w:firstLine="640"/>
        <w:jc w:val="left"/>
        <w:rPr>
          <w:rFonts w:ascii="仿宋" w:eastAsia="仿宋" w:hAnsi="仿宋" w:cs="Times New Roman"/>
          <w:b/>
          <w:bCs/>
          <w:sz w:val="32"/>
          <w:szCs w:val="32"/>
          <w:lang w:eastAsia="zh-TW"/>
        </w:rPr>
      </w:pPr>
      <w:r w:rsidRPr="00B41A06">
        <w:rPr>
          <w:rFonts w:ascii="仿宋" w:eastAsia="仿宋" w:hAnsi="仿宋" w:cs="Times New Roman"/>
          <w:b/>
          <w:bCs/>
          <w:noProof/>
          <w:sz w:val="32"/>
          <w:szCs w:val="32"/>
          <w:lang w:eastAsia="zh-TW"/>
        </w:rPr>
        <w:lastRenderedPageBreak/>
        <w:drawing>
          <wp:inline distT="0" distB="0" distL="0" distR="0" wp14:anchorId="10910C40" wp14:editId="278FA8E7">
            <wp:extent cx="5239481" cy="2038635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09E73" w14:textId="77777777" w:rsidR="00B41A06" w:rsidRDefault="00957276" w:rsidP="00CD051E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</w:pPr>
      <w:r w:rsidRPr="00957276"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  <w:t>2</w:t>
      </w:r>
      <w:r w:rsidRPr="0095727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、招標文件</w:t>
      </w:r>
    </w:p>
    <w:p w14:paraId="5E07F836" w14:textId="77777777" w:rsidR="00B41A06" w:rsidRDefault="00B41A06" w:rsidP="00B41A06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sz w:val="32"/>
          <w:szCs w:val="32"/>
          <w:lang w:eastAsia="zh-TW"/>
        </w:rPr>
      </w:pPr>
      <w:r w:rsidRP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三、投標檔要求</w:t>
      </w:r>
      <w:r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/</w:t>
      </w:r>
      <w:r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  <w:t>（</w:t>
      </w:r>
      <w:r w:rsidRP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三</w:t>
      </w:r>
      <w:r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  <w:t>）</w:t>
      </w:r>
      <w:r w:rsidRP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投標文件的組成</w:t>
      </w:r>
      <w:r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/</w:t>
      </w:r>
      <w:r w:rsidRP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2</w:t>
      </w:r>
      <w:r w:rsidRPr="00955584"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  <w:t>.</w:t>
      </w:r>
      <w:r w:rsidRPr="00955584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資格檔應包括的內容：</w:t>
      </w:r>
      <w:r w:rsidRPr="00957276">
        <w:rPr>
          <w:rFonts w:ascii="仿宋" w:eastAsia="新細明體" w:hAnsi="仿宋" w:cs="Times New Roman"/>
          <w:sz w:val="32"/>
          <w:szCs w:val="32"/>
          <w:lang w:eastAsia="zh-TW"/>
        </w:rPr>
        <w:t xml:space="preserve"> </w:t>
      </w:r>
    </w:p>
    <w:p w14:paraId="72CA2973" w14:textId="77777777" w:rsidR="00B41A06" w:rsidRPr="007A144B" w:rsidRDefault="00B41A06" w:rsidP="00B41A06">
      <w:pPr>
        <w:spacing w:afterLines="50" w:after="156"/>
        <w:ind w:firstLineChars="200" w:firstLine="640"/>
        <w:jc w:val="left"/>
        <w:rPr>
          <w:rFonts w:ascii="仿宋" w:eastAsia="仿宋" w:hAnsi="仿宋" w:cs="Times New Roman"/>
          <w:b/>
          <w:bCs/>
          <w:sz w:val="32"/>
          <w:szCs w:val="32"/>
          <w:lang w:eastAsia="zh-TW"/>
        </w:rPr>
      </w:pPr>
      <w:r w:rsidRPr="00955584">
        <w:rPr>
          <w:rFonts w:ascii="仿宋" w:eastAsia="新細明體" w:hAnsi="仿宋" w:cs="Times New Roman"/>
          <w:noProof/>
          <w:sz w:val="32"/>
          <w:szCs w:val="32"/>
          <w:lang w:eastAsia="zh-TW"/>
        </w:rPr>
        <w:drawing>
          <wp:inline distT="0" distB="0" distL="0" distR="0" wp14:anchorId="71AC95E6" wp14:editId="04FF8308">
            <wp:extent cx="4388400" cy="3351600"/>
            <wp:effectExtent l="0" t="0" r="0" b="12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8400" cy="335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51EF5" w14:textId="77777777" w:rsidR="00B41A06" w:rsidRDefault="00B41A06" w:rsidP="00B41A06">
      <w:pPr>
        <w:spacing w:afterLines="50" w:after="156"/>
        <w:ind w:firstLineChars="200" w:firstLine="641"/>
        <w:jc w:val="left"/>
        <w:rPr>
          <w:rFonts w:ascii="仿宋" w:eastAsia="新細明體" w:hAnsi="仿宋" w:cs="Times New Roman"/>
          <w:b/>
          <w:bCs/>
          <w:sz w:val="32"/>
          <w:szCs w:val="32"/>
          <w:lang w:eastAsia="zh-TW"/>
        </w:rPr>
      </w:pPr>
      <w:r w:rsidRPr="00957276">
        <w:rPr>
          <w:rFonts w:ascii="仿宋" w:eastAsia="新細明體" w:hAnsi="仿宋" w:cs="Times New Roman" w:hint="eastAsia"/>
          <w:b/>
          <w:bCs/>
          <w:sz w:val="32"/>
          <w:szCs w:val="32"/>
          <w:lang w:eastAsia="zh-TW"/>
        </w:rPr>
        <w:t>澄清爲：</w:t>
      </w:r>
    </w:p>
    <w:p w14:paraId="69A17258" w14:textId="053D1AA0" w:rsidR="00B41A06" w:rsidRPr="007A144B" w:rsidRDefault="00E8475B" w:rsidP="00B41A06">
      <w:pPr>
        <w:spacing w:afterLines="50" w:after="156"/>
        <w:ind w:firstLineChars="200" w:firstLine="640"/>
        <w:jc w:val="left"/>
        <w:rPr>
          <w:rFonts w:ascii="仿宋" w:eastAsia="仿宋" w:hAnsi="仿宋" w:cs="Times New Roman"/>
          <w:b/>
          <w:bCs/>
          <w:sz w:val="32"/>
          <w:szCs w:val="32"/>
          <w:lang w:eastAsia="zh-TW"/>
        </w:rPr>
      </w:pPr>
      <w:r w:rsidRPr="00E8475B">
        <w:rPr>
          <w:rFonts w:ascii="仿宋" w:eastAsia="仿宋" w:hAnsi="仿宋" w:cs="Times New Roman"/>
          <w:b/>
          <w:bCs/>
          <w:noProof/>
          <w:sz w:val="32"/>
          <w:szCs w:val="32"/>
          <w:lang w:eastAsia="zh-TW"/>
        </w:rPr>
        <w:lastRenderedPageBreak/>
        <w:drawing>
          <wp:inline distT="0" distB="0" distL="0" distR="0" wp14:anchorId="14331ACF" wp14:editId="0C503467">
            <wp:extent cx="3855600" cy="30348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5600" cy="30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C567A" w14:textId="77777777" w:rsidR="00B41A06" w:rsidRDefault="00B41A06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新細明體"/>
          <w:bCs/>
          <w:sz w:val="32"/>
          <w:szCs w:val="32"/>
          <w:lang w:eastAsia="zh-TW"/>
        </w:rPr>
      </w:pPr>
    </w:p>
    <w:p w14:paraId="436232BB" w14:textId="572859E5" w:rsidR="001A6B64" w:rsidRPr="00293A9F" w:rsidRDefault="00957276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FangSong_GB2312"/>
          <w:bCs/>
          <w:sz w:val="32"/>
          <w:szCs w:val="32"/>
          <w:lang w:eastAsia="zh-TW"/>
        </w:rPr>
      </w:pPr>
      <w:r w:rsidRPr="00957276">
        <w:rPr>
          <w:rFonts w:ascii="FangSong_GB2312" w:eastAsia="新細明體" w:hint="eastAsia"/>
          <w:bCs/>
          <w:sz w:val="32"/>
          <w:szCs w:val="32"/>
          <w:lang w:eastAsia="zh-TW"/>
        </w:rPr>
        <w:t>本澄清說明爲招標文件的組成部分，如對同一事項的表述與之前所發出的招標公告、招標文件不符，則以本澄清說明爲准，其它內容不變。</w:t>
      </w:r>
    </w:p>
    <w:p w14:paraId="4AAF17D5" w14:textId="77777777" w:rsidR="004945AC" w:rsidRPr="004945AC" w:rsidRDefault="004945AC" w:rsidP="004945AC">
      <w:pPr>
        <w:ind w:firstLineChars="200" w:firstLine="640"/>
        <w:textAlignment w:val="baseline"/>
        <w:rPr>
          <w:rFonts w:ascii="仿宋" w:eastAsia="仿宋" w:hAnsi="仿宋" w:cs="仿宋"/>
          <w:bCs/>
          <w:sz w:val="32"/>
          <w:szCs w:val="32"/>
          <w:lang w:eastAsia="zh-TW"/>
        </w:rPr>
      </w:pPr>
    </w:p>
    <w:p w14:paraId="07A3F582" w14:textId="69B57914" w:rsidR="00C3592A" w:rsidRPr="004945AC" w:rsidRDefault="00957276" w:rsidP="00AC120F">
      <w:pPr>
        <w:jc w:val="right"/>
        <w:textAlignment w:val="baseline"/>
        <w:rPr>
          <w:rFonts w:ascii="仿宋" w:eastAsia="仿宋" w:hAnsi="仿宋" w:cs="仿宋"/>
          <w:sz w:val="32"/>
          <w:szCs w:val="32"/>
          <w:lang w:eastAsia="zh-TW"/>
        </w:rPr>
      </w:pP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招標人：中國人壽保險（海外）股份有限公司</w:t>
      </w:r>
    </w:p>
    <w:p w14:paraId="0DC9531C" w14:textId="11513BE1" w:rsidR="00F23D2B" w:rsidRPr="004945AC" w:rsidRDefault="00957276" w:rsidP="00AC120F">
      <w:pPr>
        <w:jc w:val="right"/>
        <w:textAlignment w:val="baseline"/>
        <w:rPr>
          <w:rFonts w:ascii="仿宋" w:eastAsia="仿宋" w:hAnsi="仿宋" w:cs="仿宋"/>
          <w:sz w:val="32"/>
          <w:szCs w:val="32"/>
        </w:rPr>
      </w:pPr>
      <w:r w:rsidRPr="00957276">
        <w:rPr>
          <w:rFonts w:ascii="仿宋" w:eastAsia="新細明體" w:hAnsi="仿宋" w:cs="仿宋"/>
          <w:sz w:val="32"/>
          <w:szCs w:val="32"/>
          <w:lang w:eastAsia="zh-TW"/>
        </w:rPr>
        <w:t>2025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年</w:t>
      </w:r>
      <w:r w:rsidR="00955584">
        <w:rPr>
          <w:rFonts w:ascii="仿宋" w:eastAsia="新細明體" w:hAnsi="仿宋" w:cs="仿宋"/>
          <w:sz w:val="32"/>
          <w:szCs w:val="32"/>
          <w:lang w:eastAsia="zh-TW"/>
        </w:rPr>
        <w:t>10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月</w:t>
      </w:r>
      <w:r w:rsidR="00955584">
        <w:rPr>
          <w:rFonts w:ascii="仿宋" w:eastAsia="新細明體" w:hAnsi="仿宋" w:cs="仿宋"/>
          <w:sz w:val="32"/>
          <w:szCs w:val="32"/>
          <w:lang w:eastAsia="zh-TW"/>
        </w:rPr>
        <w:t>2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日</w:t>
      </w:r>
    </w:p>
    <w:sectPr w:rsidR="00F23D2B" w:rsidRPr="004945AC" w:rsidSect="004945AC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83711" w14:textId="77777777" w:rsidR="00D85C9A" w:rsidRDefault="00D85C9A" w:rsidP="0018154B">
      <w:r>
        <w:separator/>
      </w:r>
    </w:p>
  </w:endnote>
  <w:endnote w:type="continuationSeparator" w:id="0">
    <w:p w14:paraId="507BCD5F" w14:textId="77777777" w:rsidR="00D85C9A" w:rsidRDefault="00D85C9A" w:rsidP="0018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方正少儿简体">
    <w:charset w:val="86"/>
    <w:family w:val="auto"/>
    <w:pitch w:val="variable"/>
    <w:sig w:usb0="A00002BF" w:usb1="184F6CFA" w:usb2="00000012" w:usb3="00000000" w:csb0="00040001" w:csb1="00000000"/>
  </w:font>
  <w:font w:name="FangSong_GB2312">
    <w:altName w:val="微软雅黑"/>
    <w:panose1 w:val="0201060906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B0D28" w14:textId="77777777" w:rsidR="00D85C9A" w:rsidRDefault="00D85C9A" w:rsidP="0018154B">
      <w:r>
        <w:separator/>
      </w:r>
    </w:p>
  </w:footnote>
  <w:footnote w:type="continuationSeparator" w:id="0">
    <w:p w14:paraId="2C721EBC" w14:textId="77777777" w:rsidR="00D85C9A" w:rsidRDefault="00D85C9A" w:rsidP="0018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FCD0C75"/>
    <w:multiLevelType w:val="singleLevel"/>
    <w:tmpl w:val="9FCD0C7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B94FE4C2"/>
    <w:multiLevelType w:val="singleLevel"/>
    <w:tmpl w:val="B94FE4C2"/>
    <w:lvl w:ilvl="0">
      <w:start w:val="2"/>
      <w:numFmt w:val="decimal"/>
      <w:suff w:val="nothing"/>
      <w:lvlText w:val="%1、"/>
      <w:lvlJc w:val="left"/>
    </w:lvl>
  </w:abstractNum>
  <w:abstractNum w:abstractNumId="2">
    <w:nsid w:val="129F1725"/>
    <w:multiLevelType w:val="hybridMultilevel"/>
    <w:tmpl w:val="0BCA8440"/>
    <w:lvl w:ilvl="0" w:tplc="CDAA884A">
      <w:start w:val="3"/>
      <w:numFmt w:val="taiwaneseCountingThousand"/>
      <w:lvlText w:val="（%1）"/>
      <w:lvlJc w:val="left"/>
      <w:pPr>
        <w:ind w:left="1631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1" w:hanging="480"/>
      </w:pPr>
    </w:lvl>
    <w:lvl w:ilvl="2" w:tplc="0409001B" w:tentative="1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3">
    <w:nsid w:val="3AF2307B"/>
    <w:multiLevelType w:val="singleLevel"/>
    <w:tmpl w:val="3AF2307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2B"/>
    <w:rsid w:val="001164F1"/>
    <w:rsid w:val="00126827"/>
    <w:rsid w:val="0018154B"/>
    <w:rsid w:val="001A6B64"/>
    <w:rsid w:val="001D63C5"/>
    <w:rsid w:val="002835AE"/>
    <w:rsid w:val="00293A9F"/>
    <w:rsid w:val="002A6A4B"/>
    <w:rsid w:val="002C7BE9"/>
    <w:rsid w:val="00367159"/>
    <w:rsid w:val="003F7C66"/>
    <w:rsid w:val="00403A5E"/>
    <w:rsid w:val="00450691"/>
    <w:rsid w:val="00475782"/>
    <w:rsid w:val="00476956"/>
    <w:rsid w:val="004945AC"/>
    <w:rsid w:val="004D6A31"/>
    <w:rsid w:val="005A2B5F"/>
    <w:rsid w:val="005F6EF3"/>
    <w:rsid w:val="00604E03"/>
    <w:rsid w:val="00671275"/>
    <w:rsid w:val="00696F6D"/>
    <w:rsid w:val="006A3FD7"/>
    <w:rsid w:val="006C4C69"/>
    <w:rsid w:val="006D799B"/>
    <w:rsid w:val="007655A8"/>
    <w:rsid w:val="007A144B"/>
    <w:rsid w:val="007B6767"/>
    <w:rsid w:val="007F4C24"/>
    <w:rsid w:val="0085226F"/>
    <w:rsid w:val="00866728"/>
    <w:rsid w:val="008D6006"/>
    <w:rsid w:val="009107AA"/>
    <w:rsid w:val="00914B0E"/>
    <w:rsid w:val="00955584"/>
    <w:rsid w:val="00957276"/>
    <w:rsid w:val="00AA47BF"/>
    <w:rsid w:val="00AB130F"/>
    <w:rsid w:val="00AC120F"/>
    <w:rsid w:val="00B41A06"/>
    <w:rsid w:val="00B678FD"/>
    <w:rsid w:val="00B82566"/>
    <w:rsid w:val="00B83DAB"/>
    <w:rsid w:val="00C3592A"/>
    <w:rsid w:val="00C46D67"/>
    <w:rsid w:val="00CA567F"/>
    <w:rsid w:val="00CD051E"/>
    <w:rsid w:val="00D02D52"/>
    <w:rsid w:val="00D468E8"/>
    <w:rsid w:val="00D7585B"/>
    <w:rsid w:val="00D85C9A"/>
    <w:rsid w:val="00DE1E45"/>
    <w:rsid w:val="00E57CC4"/>
    <w:rsid w:val="00E6429D"/>
    <w:rsid w:val="00E759D2"/>
    <w:rsid w:val="00E8475B"/>
    <w:rsid w:val="00E907F4"/>
    <w:rsid w:val="00F20CEE"/>
    <w:rsid w:val="00F23D2B"/>
    <w:rsid w:val="00F40F2D"/>
    <w:rsid w:val="00F65F65"/>
    <w:rsid w:val="00F818C4"/>
    <w:rsid w:val="36187EDA"/>
    <w:rsid w:val="3C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4A3EBD"/>
  <w15:docId w15:val="{6B4F4911-3354-45E4-A54D-F2A79F36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1A6B64"/>
    <w:pPr>
      <w:keepNext/>
      <w:keepLines/>
      <w:adjustRightInd w:val="0"/>
      <w:snapToGrid w:val="0"/>
      <w:spacing w:before="120" w:after="120" w:line="360" w:lineRule="auto"/>
      <w:jc w:val="left"/>
      <w:outlineLvl w:val="1"/>
    </w:pPr>
    <w:rPr>
      <w:rFonts w:ascii="SimSun" w:eastAsia="仿宋" w:hAnsi="Arial" w:cs="Times New Roman"/>
      <w:b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A144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</w:style>
  <w:style w:type="paragraph" w:styleId="We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rsid w:val="00181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basedOn w:val="a0"/>
    <w:link w:val="a4"/>
    <w:uiPriority w:val="99"/>
    <w:rsid w:val="0018154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81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basedOn w:val="a0"/>
    <w:link w:val="a6"/>
    <w:rsid w:val="0018154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1A6B6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0">
    <w:name w:val="標題 2 字元"/>
    <w:link w:val="2"/>
    <w:qFormat/>
    <w:rsid w:val="001A6B64"/>
    <w:rPr>
      <w:rFonts w:ascii="SimSun" w:eastAsia="仿宋" w:hAnsi="Arial"/>
      <w:b/>
      <w:kern w:val="2"/>
      <w:sz w:val="24"/>
    </w:rPr>
  </w:style>
  <w:style w:type="character" w:styleId="a8">
    <w:name w:val="Hyperlink"/>
    <w:basedOn w:val="a0"/>
    <w:rsid w:val="00AB130F"/>
    <w:rPr>
      <w:color w:val="0026E5" w:themeColor="hyperlink"/>
      <w:u w:val="single"/>
    </w:rPr>
  </w:style>
  <w:style w:type="character" w:customStyle="1" w:styleId="30">
    <w:name w:val="標題 3 字元"/>
    <w:basedOn w:val="a0"/>
    <w:link w:val="3"/>
    <w:semiHidden/>
    <w:rsid w:val="007A144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4945AC"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unhideWhenUsed/>
    <w:rsid w:val="009555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49</Characters>
  <Application>Microsoft Office Word</Application>
  <DocSecurity>0</DocSecurity>
  <Lines>1</Lines>
  <Paragraphs>1</Paragraphs>
  <ScaleCrop>false</ScaleCrop>
  <Company>CLIC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Kwok</cp:lastModifiedBy>
  <cp:revision>4</cp:revision>
  <dcterms:created xsi:type="dcterms:W3CDTF">2025-09-30T09:39:00Z</dcterms:created>
  <dcterms:modified xsi:type="dcterms:W3CDTF">2025-10-01T10:19:00Z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eyJoZGlkIjoiMWE5YzJlNTJhNTE0ZjQ4OTU0ZjFkY2Q4NWRmMWI3ZGEiLCJ1c2VySWQiOiI5NTcyNjQ5ODYifQ==</vt:lpwstr>
  </property>
  <property fmtid="{D5CDD505-2E9C-101B-9397-08002B2CF9AE}" pid="4" name="ICV">
    <vt:lpwstr>539A94B0BE844536AB9C8F8FD6F66735_12</vt:lpwstr>
  </property>
</Properties>
</file>